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（十五）国有土地上房屋征收与补偿领域基层政务公开标准目录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鱼峰区人民政府、市征补中心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鱼峰区人民政府、市征补中心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市征补中心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鱼峰区人民政府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鱼峰区人民政府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 w:val="18"/>
                <w:szCs w:val="18"/>
                <w:lang w:val="en-US" w:eastAsia="zh-CN"/>
              </w:rPr>
              <w:t>报刊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阳和征补中心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偿信息公开工作的通知》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鱼峰区人民政府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817462"/>
    <w:rsid w:val="0C1E30FA"/>
    <w:rsid w:val="0DFE0AF1"/>
    <w:rsid w:val="185856A3"/>
    <w:rsid w:val="24CB1532"/>
    <w:rsid w:val="26817462"/>
    <w:rsid w:val="3243566C"/>
    <w:rsid w:val="33B62EF6"/>
    <w:rsid w:val="3D715BA4"/>
    <w:rsid w:val="3E2F75C2"/>
    <w:rsid w:val="42826D8C"/>
    <w:rsid w:val="5971371D"/>
    <w:rsid w:val="60D5158E"/>
    <w:rsid w:val="76F6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2020-10-12T01:28:00Z</dcterms:created>
  <dc:creator>山楂</dc:creator>
  <cp:lastModifiedBy>许</cp:lastModifiedBy>
  <dcterms:modified xsi:type="dcterms:W3CDTF">2020-12-07T03:28:43Z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