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0" w:rightFromText="180" w:vertAnchor="text" w:horzAnchor="margin" w:tblpXSpec="right" w:tblpY="-155"/>
        <w:tblW w:w="2310" w:type="dxa"/>
        <w:tblInd w:w="0" w:type="dxa"/>
        <w:tblLayout w:type="fixed"/>
        <w:tblCellMar>
          <w:top w:w="0" w:type="dxa"/>
          <w:left w:w="0" w:type="dxa"/>
          <w:bottom w:w="0" w:type="dxa"/>
          <w:right w:w="0" w:type="dxa"/>
        </w:tblCellMar>
      </w:tblPr>
      <w:tblGrid>
        <w:gridCol w:w="2310"/>
      </w:tblGrid>
      <w:tr w14:paraId="61CD5627">
        <w:trPr>
          <w:trHeight w:val="369" w:hRule="exact"/>
        </w:trPr>
        <w:tc>
          <w:tcPr>
            <w:tcW w:w="23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38DD81">
            <w:pPr>
              <w:pStyle w:val="34"/>
              <w:rPr>
                <w:rFonts w:cs="Arial"/>
                <w:u w:val="none"/>
              </w:rPr>
            </w:pPr>
            <w:bookmarkStart w:id="0" w:name="_Hlk57883707"/>
            <w:r>
              <w:rPr>
                <w:rFonts w:cs="Arial"/>
                <w:u w:val="none"/>
              </w:rPr>
              <w:t>卷册检索号</w:t>
            </w:r>
          </w:p>
        </w:tc>
      </w:tr>
      <w:tr w14:paraId="47529D4C">
        <w:tblPrEx>
          <w:tblCellMar>
            <w:top w:w="0" w:type="dxa"/>
            <w:left w:w="0" w:type="dxa"/>
            <w:bottom w:w="0" w:type="dxa"/>
            <w:right w:w="0" w:type="dxa"/>
          </w:tblCellMar>
        </w:tblPrEx>
        <w:trPr>
          <w:trHeight w:val="369" w:hRule="exact"/>
        </w:trPr>
        <w:tc>
          <w:tcPr>
            <w:tcW w:w="231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A88D1A0">
            <w:pPr>
              <w:pStyle w:val="34"/>
              <w:rPr>
                <w:rFonts w:hint="default" w:eastAsia="宋体" w:cs="Arial"/>
                <w:u w:val="none"/>
                <w:lang w:val="en-US" w:eastAsia="zh-CN"/>
              </w:rPr>
            </w:pPr>
            <w:r>
              <w:rPr>
                <w:rFonts w:hint="eastAsia" w:cs="Arial"/>
                <w:u w:val="none"/>
                <w:lang w:val="en-US" w:eastAsia="zh-CN"/>
              </w:rPr>
              <w:t>20-</w:t>
            </w:r>
            <w:r>
              <w:rPr>
                <w:rFonts w:hint="eastAsia" w:cs="Arial"/>
                <w:u w:val="none"/>
              </w:rPr>
              <w:t>J23491KP-</w:t>
            </w:r>
            <w:r>
              <w:rPr>
                <w:rFonts w:hint="eastAsia" w:cs="Arial"/>
                <w:u w:val="none"/>
                <w:lang w:val="en-US" w:eastAsia="zh-CN"/>
              </w:rPr>
              <w:t>B</w:t>
            </w:r>
            <w:r>
              <w:rPr>
                <w:rFonts w:hint="eastAsia" w:cs="Arial"/>
                <w:u w:val="none"/>
              </w:rPr>
              <w:t>-01</w:t>
            </w:r>
          </w:p>
        </w:tc>
      </w:tr>
    </w:tbl>
    <w:p w14:paraId="2A03273F">
      <w:pPr>
        <w:rPr>
          <w:rFonts w:ascii="仿宋_GB2312" w:hAnsi="仿宋_GB2312" w:eastAsia="仿宋_GB2312" w:cs="仿宋_GB2312"/>
          <w:sz w:val="36"/>
          <w:szCs w:val="36"/>
        </w:rPr>
      </w:pPr>
    </w:p>
    <w:p w14:paraId="7DA22566">
      <w:pPr>
        <w:rPr>
          <w:rFonts w:ascii="仿宋_GB2312" w:hAnsi="仿宋_GB2312" w:eastAsia="仿宋_GB2312" w:cs="仿宋_GB2312"/>
          <w:sz w:val="36"/>
          <w:szCs w:val="36"/>
        </w:rPr>
      </w:pPr>
    </w:p>
    <w:p w14:paraId="27B69E9D">
      <w:pPr>
        <w:rPr>
          <w:rFonts w:ascii="仿宋_GB2312" w:hAnsi="仿宋_GB2312" w:eastAsia="仿宋_GB2312" w:cs="仿宋_GB2312"/>
          <w:sz w:val="36"/>
          <w:szCs w:val="36"/>
        </w:rPr>
      </w:pPr>
    </w:p>
    <w:p w14:paraId="2F23013E">
      <w:pPr>
        <w:rPr>
          <w:rFonts w:ascii="仿宋_GB2312" w:hAnsi="仿宋_GB2312" w:eastAsia="仿宋_GB2312" w:cs="仿宋_GB2312"/>
          <w:sz w:val="36"/>
          <w:szCs w:val="36"/>
        </w:rPr>
      </w:pPr>
    </w:p>
    <w:p w14:paraId="46DBE641">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55B3CE3F">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14:paraId="518122F8">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14:paraId="38729F1A">
      <w:pPr>
        <w:rPr>
          <w:rFonts w:eastAsia="仿宋"/>
          <w:sz w:val="44"/>
          <w:szCs w:val="44"/>
        </w:rPr>
      </w:pPr>
    </w:p>
    <w:p w14:paraId="06F327FF">
      <w:pPr>
        <w:ind w:firstLine="1040"/>
        <w:rPr>
          <w:rFonts w:eastAsia="仿宋"/>
          <w:sz w:val="44"/>
          <w:szCs w:val="44"/>
        </w:rPr>
      </w:pPr>
    </w:p>
    <w:p w14:paraId="64E925CB">
      <w:pPr>
        <w:ind w:firstLine="1040"/>
        <w:rPr>
          <w:rFonts w:eastAsia="仿宋"/>
          <w:sz w:val="44"/>
          <w:szCs w:val="44"/>
        </w:rPr>
      </w:pPr>
    </w:p>
    <w:p w14:paraId="3CCA8860">
      <w:pPr>
        <w:ind w:firstLine="1040"/>
        <w:rPr>
          <w:rFonts w:eastAsia="仿宋"/>
          <w:sz w:val="44"/>
          <w:szCs w:val="44"/>
        </w:rPr>
      </w:pPr>
    </w:p>
    <w:bookmarkEnd w:id="1"/>
    <w:p w14:paraId="49E37DC7">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220千伏果山变电站扩建工程 </w:t>
      </w:r>
    </w:p>
    <w:p w14:paraId="0047D836">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广西电网有限责任公司柳州供电局 </w:t>
      </w:r>
    </w:p>
    <w:p w14:paraId="154EEF3B">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二〇二五年五月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47C6FE28">
      <w:pPr>
        <w:adjustRightInd w:val="0"/>
        <w:snapToGrid w:val="0"/>
        <w:spacing w:line="288" w:lineRule="auto"/>
        <w:ind w:firstLine="1040"/>
        <w:rPr>
          <w:rFonts w:ascii="仿宋_GB2312" w:eastAsia="仿宋_GB2312"/>
          <w:sz w:val="36"/>
          <w:szCs w:val="36"/>
          <w:u w:val="single"/>
        </w:rPr>
      </w:pPr>
    </w:p>
    <w:p w14:paraId="4040A163">
      <w:pPr>
        <w:rPr>
          <w:rFonts w:eastAsia="仿宋_GB2312"/>
          <w:sz w:val="36"/>
          <w:szCs w:val="36"/>
          <w:u w:val="none"/>
        </w:rPr>
      </w:pPr>
      <w:r>
        <w:rPr>
          <w:rFonts w:eastAsia="仿宋_GB2312"/>
          <w:sz w:val="36"/>
          <w:szCs w:val="36"/>
          <w:u w:val="none"/>
        </w:rPr>
        <w:br w:type="page"/>
      </w:r>
    </w:p>
    <w:p w14:paraId="1BFDBB43">
      <w:pPr>
        <w:spacing w:line="240" w:lineRule="auto"/>
        <w:rPr>
          <w:sz w:val="36"/>
          <w:szCs w:val="36"/>
          <w:u w:val="none"/>
        </w:rPr>
        <w:sectPr>
          <w:footerReference r:id="rId5" w:type="default"/>
          <w:pgSz w:w="11906" w:h="16838"/>
          <w:pgMar w:top="1701" w:right="1531" w:bottom="1701" w:left="1531" w:header="851" w:footer="1077" w:gutter="0"/>
          <w:pgNumType w:start="1"/>
          <w:cols w:space="720" w:num="1"/>
          <w:docGrid w:linePitch="312" w:charSpace="0"/>
        </w:sectPr>
      </w:pPr>
    </w:p>
    <w:bookmarkEnd w:id="0"/>
    <w:p w14:paraId="5E22BC74">
      <w:pP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br w:type="page"/>
      </w:r>
    </w:p>
    <w:p w14:paraId="0CC61A00">
      <w:pPr>
        <w:spacing w:line="360" w:lineRule="auto"/>
        <w:jc w:val="center"/>
        <w:rPr>
          <w:rFonts w:hint="eastAsia" w:ascii="黑体" w:hAnsi="黑体" w:eastAsia="黑体" w:cs="黑体"/>
          <w:b/>
          <w:bCs/>
          <w:sz w:val="30"/>
          <w:szCs w:val="30"/>
          <w:u w:val="none"/>
          <w:lang w:val="en-US" w:eastAsia="zh-CN"/>
        </w:rPr>
      </w:pPr>
    </w:p>
    <w:p w14:paraId="6928C39A">
      <w:pPr>
        <w:spacing w:line="480" w:lineRule="auto"/>
        <w:jc w:val="center"/>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目   录</w:t>
      </w:r>
    </w:p>
    <w:p w14:paraId="229D4E1D">
      <w:pPr>
        <w:pStyle w:val="15"/>
        <w:tabs>
          <w:tab w:val="right" w:leader="dot" w:pos="8844"/>
        </w:tabs>
        <w:rPr>
          <w:u w:val="none"/>
        </w:rPr>
      </w:pPr>
      <w:r>
        <w:rPr>
          <w:rFonts w:hint="eastAsia" w:ascii="宋体" w:hAnsi="宋体" w:eastAsia="宋体" w:cs="宋体"/>
          <w:b/>
          <w:bCs/>
          <w:sz w:val="30"/>
          <w:szCs w:val="30"/>
          <w:u w:val="none"/>
        </w:rPr>
        <w:fldChar w:fldCharType="begin"/>
      </w:r>
      <w:r>
        <w:rPr>
          <w:rFonts w:hint="eastAsia" w:ascii="宋体" w:hAnsi="宋体" w:eastAsia="宋体" w:cs="宋体"/>
          <w:b/>
          <w:bCs/>
          <w:sz w:val="30"/>
          <w:szCs w:val="30"/>
          <w:u w:val="none"/>
        </w:rPr>
        <w:instrText xml:space="preserve">TOC \o "1-1" \h \u </w:instrText>
      </w:r>
      <w:r>
        <w:rPr>
          <w:rFonts w:hint="eastAsia" w:ascii="宋体" w:hAnsi="宋体" w:eastAsia="宋体" w:cs="宋体"/>
          <w:b/>
          <w:bCs/>
          <w:sz w:val="30"/>
          <w:szCs w:val="30"/>
          <w:u w:val="none"/>
        </w:rPr>
        <w:fldChar w:fldCharType="separate"/>
      </w:r>
    </w:p>
    <w:p w14:paraId="100D476B">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_Toc2033 </w:instrText>
      </w:r>
      <w:r>
        <w:rPr>
          <w:rFonts w:hint="eastAsia" w:ascii="宋体" w:hAnsi="宋体" w:eastAsia="宋体" w:cs="宋体"/>
          <w:b/>
          <w:bCs/>
          <w:szCs w:val="30"/>
          <w:u w:val="none"/>
        </w:rPr>
        <w:fldChar w:fldCharType="separate"/>
      </w:r>
      <w:r>
        <w:rPr>
          <w:rFonts w:hint="eastAsia" w:ascii="宋体" w:hAnsi="宋体" w:eastAsia="宋体" w:cs="宋体"/>
          <w:b/>
          <w:bCs/>
          <w:u w:val="none"/>
        </w:rPr>
        <w:t>一、建设项目基本情况</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_Toc2033 \h </w:instrText>
      </w:r>
      <w:r>
        <w:rPr>
          <w:rFonts w:hint="eastAsia" w:ascii="宋体" w:hAnsi="宋体" w:eastAsia="宋体" w:cs="宋体"/>
          <w:b/>
          <w:bCs/>
          <w:u w:val="none"/>
        </w:rPr>
        <w:fldChar w:fldCharType="separate"/>
      </w:r>
      <w:r>
        <w:rPr>
          <w:rFonts w:hint="eastAsia" w:ascii="宋体" w:hAnsi="宋体" w:eastAsia="宋体" w:cs="宋体"/>
          <w:b/>
          <w:bCs/>
          <w:u w:val="none"/>
        </w:rPr>
        <w:t>1</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352984C4">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_Toc18542 </w:instrText>
      </w:r>
      <w:r>
        <w:rPr>
          <w:rFonts w:hint="eastAsia" w:ascii="宋体" w:hAnsi="宋体" w:eastAsia="宋体" w:cs="宋体"/>
          <w:b/>
          <w:bCs/>
          <w:szCs w:val="30"/>
          <w:u w:val="none"/>
        </w:rPr>
        <w:fldChar w:fldCharType="separate"/>
      </w:r>
      <w:r>
        <w:rPr>
          <w:rFonts w:hint="eastAsia" w:ascii="宋体" w:hAnsi="宋体" w:eastAsia="宋体" w:cs="宋体"/>
          <w:b/>
          <w:bCs/>
          <w:u w:val="none"/>
        </w:rPr>
        <w:t>二、建设内容</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_Toc18542 \h </w:instrText>
      </w:r>
      <w:r>
        <w:rPr>
          <w:rFonts w:hint="eastAsia" w:ascii="宋体" w:hAnsi="宋体" w:eastAsia="宋体" w:cs="宋体"/>
          <w:b/>
          <w:bCs/>
          <w:u w:val="none"/>
        </w:rPr>
        <w:fldChar w:fldCharType="separate"/>
      </w:r>
      <w:r>
        <w:rPr>
          <w:rFonts w:hint="eastAsia" w:ascii="宋体" w:hAnsi="宋体" w:eastAsia="宋体" w:cs="宋体"/>
          <w:b/>
          <w:bCs/>
          <w:u w:val="none"/>
        </w:rPr>
        <w:t>22</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75EEBFCC">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_Toc26766 </w:instrText>
      </w:r>
      <w:r>
        <w:rPr>
          <w:rFonts w:hint="eastAsia" w:ascii="宋体" w:hAnsi="宋体" w:eastAsia="宋体" w:cs="宋体"/>
          <w:b/>
          <w:bCs/>
          <w:szCs w:val="30"/>
          <w:u w:val="none"/>
        </w:rPr>
        <w:fldChar w:fldCharType="separate"/>
      </w:r>
      <w:r>
        <w:rPr>
          <w:rFonts w:hint="eastAsia" w:ascii="宋体" w:hAnsi="宋体" w:eastAsia="宋体" w:cs="宋体"/>
          <w:b/>
          <w:bCs/>
          <w:szCs w:val="30"/>
          <w:u w:val="none"/>
        </w:rPr>
        <w:t>三、生态环境现状、保护目标及评价标准</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_Toc26766 \h </w:instrText>
      </w:r>
      <w:r>
        <w:rPr>
          <w:rFonts w:hint="eastAsia" w:ascii="宋体" w:hAnsi="宋体" w:eastAsia="宋体" w:cs="宋体"/>
          <w:b/>
          <w:bCs/>
          <w:u w:val="none"/>
        </w:rPr>
        <w:fldChar w:fldCharType="separate"/>
      </w:r>
      <w:r>
        <w:rPr>
          <w:rFonts w:hint="eastAsia" w:ascii="宋体" w:hAnsi="宋体" w:eastAsia="宋体" w:cs="宋体"/>
          <w:b/>
          <w:bCs/>
          <w:u w:val="none"/>
        </w:rPr>
        <w:t>26</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6B22D98A">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_Toc32602 </w:instrText>
      </w:r>
      <w:r>
        <w:rPr>
          <w:rFonts w:hint="eastAsia" w:ascii="宋体" w:hAnsi="宋体" w:eastAsia="宋体" w:cs="宋体"/>
          <w:b/>
          <w:bCs/>
          <w:szCs w:val="30"/>
          <w:u w:val="none"/>
        </w:rPr>
        <w:fldChar w:fldCharType="separate"/>
      </w:r>
      <w:r>
        <w:rPr>
          <w:rFonts w:hint="eastAsia" w:ascii="宋体" w:hAnsi="宋体" w:eastAsia="宋体" w:cs="宋体"/>
          <w:b/>
          <w:bCs/>
          <w:u w:val="none"/>
        </w:rPr>
        <w:t>四、生态环境影响分析</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_Toc32602 \h </w:instrText>
      </w:r>
      <w:r>
        <w:rPr>
          <w:rFonts w:hint="eastAsia" w:ascii="宋体" w:hAnsi="宋体" w:eastAsia="宋体" w:cs="宋体"/>
          <w:b/>
          <w:bCs/>
          <w:u w:val="none"/>
        </w:rPr>
        <w:fldChar w:fldCharType="separate"/>
      </w:r>
      <w:r>
        <w:rPr>
          <w:rFonts w:hint="eastAsia" w:ascii="宋体" w:hAnsi="宋体" w:eastAsia="宋体" w:cs="宋体"/>
          <w:b/>
          <w:bCs/>
          <w:u w:val="none"/>
        </w:rPr>
        <w:t>36</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18AB1CB0">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_Toc16798 </w:instrText>
      </w:r>
      <w:r>
        <w:rPr>
          <w:rFonts w:hint="eastAsia" w:ascii="宋体" w:hAnsi="宋体" w:eastAsia="宋体" w:cs="宋体"/>
          <w:b/>
          <w:bCs/>
          <w:szCs w:val="30"/>
          <w:u w:val="none"/>
        </w:rPr>
        <w:fldChar w:fldCharType="separate"/>
      </w:r>
      <w:r>
        <w:rPr>
          <w:rFonts w:hint="eastAsia" w:ascii="宋体" w:hAnsi="宋体" w:eastAsia="宋体" w:cs="宋体"/>
          <w:b/>
          <w:bCs/>
          <w:u w:val="none"/>
        </w:rPr>
        <w:t>五、主要生态环境保护措施</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_Toc16798 \h </w:instrText>
      </w:r>
      <w:r>
        <w:rPr>
          <w:rFonts w:hint="eastAsia" w:ascii="宋体" w:hAnsi="宋体" w:eastAsia="宋体" w:cs="宋体"/>
          <w:b/>
          <w:bCs/>
          <w:u w:val="none"/>
        </w:rPr>
        <w:fldChar w:fldCharType="separate"/>
      </w:r>
      <w:r>
        <w:rPr>
          <w:rFonts w:hint="eastAsia" w:ascii="宋体" w:hAnsi="宋体" w:eastAsia="宋体" w:cs="宋体"/>
          <w:b/>
          <w:bCs/>
          <w:u w:val="none"/>
        </w:rPr>
        <w:t>45</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16E51001">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_Toc25161 </w:instrText>
      </w:r>
      <w:r>
        <w:rPr>
          <w:rFonts w:hint="eastAsia" w:ascii="宋体" w:hAnsi="宋体" w:eastAsia="宋体" w:cs="宋体"/>
          <w:b/>
          <w:bCs/>
          <w:szCs w:val="30"/>
          <w:u w:val="none"/>
        </w:rPr>
        <w:fldChar w:fldCharType="separate"/>
      </w:r>
      <w:r>
        <w:rPr>
          <w:rFonts w:hint="eastAsia" w:ascii="宋体" w:hAnsi="宋体" w:eastAsia="宋体" w:cs="宋体"/>
          <w:b/>
          <w:bCs/>
          <w:u w:val="none"/>
        </w:rPr>
        <w:t>六、生态环境保护措施监督检查清单</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_Toc25161 \h </w:instrText>
      </w:r>
      <w:r>
        <w:rPr>
          <w:rFonts w:hint="eastAsia" w:ascii="宋体" w:hAnsi="宋体" w:eastAsia="宋体" w:cs="宋体"/>
          <w:b/>
          <w:bCs/>
          <w:u w:val="none"/>
        </w:rPr>
        <w:fldChar w:fldCharType="separate"/>
      </w:r>
      <w:r>
        <w:rPr>
          <w:rFonts w:hint="eastAsia" w:ascii="宋体" w:hAnsi="宋体" w:eastAsia="宋体" w:cs="宋体"/>
          <w:b/>
          <w:bCs/>
          <w:u w:val="none"/>
        </w:rPr>
        <w:t>50</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3C529A17">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_Toc6033 </w:instrText>
      </w:r>
      <w:r>
        <w:rPr>
          <w:rFonts w:hint="eastAsia" w:ascii="宋体" w:hAnsi="宋体" w:eastAsia="宋体" w:cs="宋体"/>
          <w:b/>
          <w:bCs/>
          <w:szCs w:val="30"/>
          <w:u w:val="none"/>
        </w:rPr>
        <w:fldChar w:fldCharType="separate"/>
      </w:r>
      <w:r>
        <w:rPr>
          <w:rFonts w:hint="eastAsia" w:ascii="宋体" w:hAnsi="宋体" w:eastAsia="宋体" w:cs="宋体"/>
          <w:b/>
          <w:bCs/>
          <w:u w:val="none"/>
        </w:rPr>
        <w:t>七、结论</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_Toc6033 \h </w:instrText>
      </w:r>
      <w:r>
        <w:rPr>
          <w:rFonts w:hint="eastAsia" w:ascii="宋体" w:hAnsi="宋体" w:eastAsia="宋体" w:cs="宋体"/>
          <w:b/>
          <w:bCs/>
          <w:u w:val="none"/>
        </w:rPr>
        <w:fldChar w:fldCharType="separate"/>
      </w:r>
      <w:r>
        <w:rPr>
          <w:rFonts w:hint="eastAsia" w:ascii="宋体" w:hAnsi="宋体" w:eastAsia="宋体" w:cs="宋体"/>
          <w:b/>
          <w:bCs/>
          <w:u w:val="none"/>
        </w:rPr>
        <w:t>52</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09619190">
      <w:pPr>
        <w:pStyle w:val="15"/>
        <w:tabs>
          <w:tab w:val="right" w:leader="dot" w:pos="8844"/>
        </w:tabs>
        <w:rPr>
          <w:rFonts w:hint="eastAsia" w:ascii="宋体" w:hAnsi="宋体" w:eastAsia="宋体" w:cs="宋体"/>
          <w:b/>
          <w:bCs/>
          <w:u w:val="none"/>
        </w:rPr>
      </w:pPr>
      <w:r>
        <w:rPr>
          <w:rFonts w:hint="eastAsia" w:ascii="宋体" w:hAnsi="宋体" w:eastAsia="宋体" w:cs="宋体"/>
          <w:b/>
          <w:bCs/>
          <w:szCs w:val="30"/>
          <w:u w:val="none"/>
        </w:rPr>
        <w:fldChar w:fldCharType="begin"/>
      </w:r>
      <w:r>
        <w:rPr>
          <w:rFonts w:hint="eastAsia" w:ascii="宋体" w:hAnsi="宋体" w:eastAsia="宋体" w:cs="宋体"/>
          <w:b/>
          <w:bCs/>
          <w:szCs w:val="30"/>
          <w:u w:val="none"/>
        </w:rPr>
        <w:instrText xml:space="preserve"> HYPERLINK \l _Toc15626 </w:instrText>
      </w:r>
      <w:r>
        <w:rPr>
          <w:rFonts w:hint="eastAsia" w:ascii="宋体" w:hAnsi="宋体" w:eastAsia="宋体" w:cs="宋体"/>
          <w:b/>
          <w:bCs/>
          <w:szCs w:val="30"/>
          <w:u w:val="none"/>
        </w:rPr>
        <w:fldChar w:fldCharType="separate"/>
      </w:r>
      <w:r>
        <w:rPr>
          <w:rFonts w:hint="eastAsia" w:ascii="宋体" w:hAnsi="宋体" w:eastAsia="宋体" w:cs="宋体"/>
          <w:b/>
          <w:bCs/>
          <w:szCs w:val="52"/>
          <w:u w:val="none"/>
        </w:rPr>
        <w:t>电磁环境影响评价专题</w:t>
      </w:r>
      <w:r>
        <w:rPr>
          <w:rFonts w:hint="eastAsia" w:ascii="宋体" w:hAnsi="宋体" w:eastAsia="宋体" w:cs="宋体"/>
          <w:b/>
          <w:bCs/>
          <w:u w:val="none"/>
        </w:rPr>
        <w:tab/>
      </w:r>
      <w:r>
        <w:rPr>
          <w:rFonts w:hint="eastAsia" w:ascii="宋体" w:hAnsi="宋体" w:eastAsia="宋体" w:cs="宋体"/>
          <w:b/>
          <w:bCs/>
          <w:u w:val="none"/>
        </w:rPr>
        <w:fldChar w:fldCharType="begin"/>
      </w:r>
      <w:r>
        <w:rPr>
          <w:rFonts w:hint="eastAsia" w:ascii="宋体" w:hAnsi="宋体" w:eastAsia="宋体" w:cs="宋体"/>
          <w:b/>
          <w:bCs/>
          <w:u w:val="none"/>
        </w:rPr>
        <w:instrText xml:space="preserve"> PAGEREF _Toc15626 \h </w:instrText>
      </w:r>
      <w:r>
        <w:rPr>
          <w:rFonts w:hint="eastAsia" w:ascii="宋体" w:hAnsi="宋体" w:eastAsia="宋体" w:cs="宋体"/>
          <w:b/>
          <w:bCs/>
          <w:u w:val="none"/>
        </w:rPr>
        <w:fldChar w:fldCharType="separate"/>
      </w:r>
      <w:r>
        <w:rPr>
          <w:rFonts w:hint="eastAsia" w:ascii="宋体" w:hAnsi="宋体" w:eastAsia="宋体" w:cs="宋体"/>
          <w:b/>
          <w:bCs/>
          <w:u w:val="none"/>
        </w:rPr>
        <w:t>53</w:t>
      </w:r>
      <w:r>
        <w:rPr>
          <w:rFonts w:hint="eastAsia" w:ascii="宋体" w:hAnsi="宋体" w:eastAsia="宋体" w:cs="宋体"/>
          <w:b/>
          <w:bCs/>
          <w:u w:val="none"/>
        </w:rPr>
        <w:fldChar w:fldCharType="end"/>
      </w:r>
      <w:r>
        <w:rPr>
          <w:rFonts w:hint="eastAsia" w:ascii="宋体" w:hAnsi="宋体" w:eastAsia="宋体" w:cs="宋体"/>
          <w:b/>
          <w:bCs/>
          <w:szCs w:val="30"/>
          <w:u w:val="none"/>
        </w:rPr>
        <w:fldChar w:fldCharType="end"/>
      </w:r>
    </w:p>
    <w:p w14:paraId="65E076D9">
      <w:pPr>
        <w:rPr>
          <w:rFonts w:hint="eastAsia" w:ascii="宋体" w:hAnsi="宋体" w:eastAsia="宋体" w:cs="宋体"/>
          <w:b/>
          <w:bCs w:val="0"/>
          <w:szCs w:val="30"/>
          <w:u w:val="none"/>
          <w:lang w:val="en-US" w:eastAsia="zh-CN"/>
        </w:rPr>
      </w:pPr>
      <w:r>
        <w:rPr>
          <w:rFonts w:hint="eastAsia" w:ascii="宋体" w:hAnsi="宋体" w:eastAsia="宋体" w:cs="宋体"/>
          <w:bCs/>
          <w:szCs w:val="30"/>
          <w:u w:val="none"/>
        </w:rPr>
        <w:fldChar w:fldCharType="end"/>
      </w:r>
      <w:r>
        <w:rPr>
          <w:rFonts w:hint="eastAsia" w:ascii="宋体" w:hAnsi="宋体" w:eastAsia="宋体" w:cs="宋体"/>
          <w:b/>
          <w:bCs w:val="0"/>
          <w:szCs w:val="30"/>
          <w:u w:val="none"/>
          <w:lang w:val="en-US" w:eastAsia="zh-CN"/>
        </w:rPr>
        <w:t>附件：</w:t>
      </w:r>
    </w:p>
    <w:p w14:paraId="4EF569FC">
      <w:pPr>
        <w:rPr>
          <w:rFonts w:hint="eastAsia"/>
          <w:b/>
          <w:bCs/>
          <w:u w:val="none"/>
        </w:rPr>
      </w:pPr>
      <w:r>
        <w:rPr>
          <w:rFonts w:hint="eastAsia"/>
          <w:b/>
          <w:bCs/>
          <w:u w:val="none"/>
        </w:rPr>
        <w:t>附件1中标通知书</w:t>
      </w:r>
    </w:p>
    <w:p w14:paraId="182EE006">
      <w:pPr>
        <w:rPr>
          <w:rFonts w:hint="eastAsia"/>
          <w:b/>
          <w:bCs/>
          <w:u w:val="none"/>
        </w:rPr>
      </w:pPr>
      <w:r>
        <w:rPr>
          <w:rFonts w:hint="eastAsia"/>
          <w:b/>
          <w:bCs/>
          <w:u w:val="none"/>
        </w:rPr>
        <w:t>附件2项目核准</w:t>
      </w:r>
    </w:p>
    <w:p w14:paraId="51E19270">
      <w:pPr>
        <w:rPr>
          <w:rFonts w:hint="eastAsia"/>
          <w:b/>
          <w:bCs/>
          <w:u w:val="none"/>
        </w:rPr>
      </w:pPr>
      <w:r>
        <w:rPr>
          <w:rFonts w:hint="eastAsia"/>
          <w:b/>
          <w:bCs/>
          <w:u w:val="none"/>
        </w:rPr>
        <w:t>附件3本项目监测报告</w:t>
      </w:r>
    </w:p>
    <w:p w14:paraId="61B1C6DF">
      <w:pPr>
        <w:rPr>
          <w:rFonts w:hint="eastAsia"/>
          <w:b/>
          <w:bCs/>
          <w:u w:val="none"/>
        </w:rPr>
      </w:pPr>
      <w:r>
        <w:rPr>
          <w:rFonts w:hint="eastAsia"/>
          <w:b/>
          <w:bCs/>
          <w:u w:val="none"/>
        </w:rPr>
        <w:t>附件</w:t>
      </w:r>
      <w:r>
        <w:rPr>
          <w:rFonts w:hint="eastAsia"/>
          <w:b/>
          <w:bCs/>
          <w:u w:val="none"/>
          <w:lang w:val="en-US" w:eastAsia="zh-CN"/>
        </w:rPr>
        <w:t>4</w:t>
      </w:r>
      <w:r>
        <w:rPr>
          <w:rFonts w:hint="eastAsia"/>
          <w:b/>
          <w:bCs/>
          <w:u w:val="none"/>
        </w:rPr>
        <w:t>本项目类比监测报告</w:t>
      </w:r>
    </w:p>
    <w:p w14:paraId="031A58F7">
      <w:pPr>
        <w:rPr>
          <w:rFonts w:hint="eastAsia"/>
          <w:b/>
          <w:bCs/>
          <w:u w:val="none"/>
        </w:rPr>
      </w:pPr>
      <w:r>
        <w:rPr>
          <w:rFonts w:hint="eastAsia"/>
          <w:b/>
          <w:bCs/>
          <w:u w:val="none"/>
        </w:rPr>
        <w:t>附件5</w:t>
      </w:r>
      <w:r>
        <w:rPr>
          <w:rFonts w:hint="eastAsia"/>
          <w:b/>
          <w:bCs/>
          <w:u w:val="none"/>
          <w:lang w:val="en-US" w:eastAsia="zh-CN"/>
        </w:rPr>
        <w:t xml:space="preserve"> </w:t>
      </w:r>
      <w:r>
        <w:rPr>
          <w:rFonts w:hint="eastAsia"/>
          <w:b/>
          <w:bCs/>
          <w:u w:val="none"/>
        </w:rPr>
        <w:t>220kV</w:t>
      </w:r>
      <w:r>
        <w:rPr>
          <w:rFonts w:hint="eastAsia"/>
          <w:b/>
          <w:bCs/>
          <w:u w:val="none"/>
          <w:lang w:val="en-US" w:eastAsia="zh-CN"/>
        </w:rPr>
        <w:t>果山</w:t>
      </w:r>
      <w:r>
        <w:rPr>
          <w:rFonts w:hint="eastAsia"/>
          <w:b/>
          <w:bCs/>
          <w:u w:val="none"/>
        </w:rPr>
        <w:t>变电站环保竣工批复</w:t>
      </w:r>
    </w:p>
    <w:p w14:paraId="3B0AF43E">
      <w:pPr>
        <w:rPr>
          <w:rFonts w:hint="eastAsia"/>
          <w:b/>
          <w:bCs/>
          <w:u w:val="none"/>
        </w:rPr>
      </w:pPr>
      <w:r>
        <w:rPr>
          <w:rFonts w:hint="eastAsia"/>
          <w:b/>
          <w:bCs/>
          <w:u w:val="none"/>
        </w:rPr>
        <w:t>附件6</w:t>
      </w:r>
      <w:r>
        <w:rPr>
          <w:rFonts w:hint="eastAsia"/>
          <w:b/>
          <w:bCs/>
          <w:u w:val="none"/>
          <w:lang w:val="en-US" w:eastAsia="zh-CN"/>
        </w:rPr>
        <w:t xml:space="preserve"> </w:t>
      </w:r>
      <w:r>
        <w:rPr>
          <w:rFonts w:hint="eastAsia"/>
          <w:b/>
          <w:bCs/>
          <w:u w:val="none"/>
        </w:rPr>
        <w:t>220kV果山变不动产权证书</w:t>
      </w:r>
    </w:p>
    <w:p w14:paraId="3088997F">
      <w:pPr>
        <w:rPr>
          <w:rFonts w:hint="eastAsia"/>
          <w:b/>
          <w:bCs/>
          <w:u w:val="none"/>
        </w:rPr>
      </w:pPr>
      <w:r>
        <w:rPr>
          <w:rFonts w:hint="eastAsia"/>
          <w:b/>
          <w:bCs/>
          <w:u w:val="none"/>
        </w:rPr>
        <w:t>附件7</w:t>
      </w:r>
      <w:r>
        <w:rPr>
          <w:rFonts w:hint="eastAsia"/>
          <w:b/>
          <w:bCs/>
          <w:u w:val="none"/>
          <w:lang w:val="en-US" w:eastAsia="zh-CN"/>
        </w:rPr>
        <w:t xml:space="preserve"> </w:t>
      </w:r>
      <w:r>
        <w:rPr>
          <w:rFonts w:hint="eastAsia"/>
          <w:b/>
          <w:bCs/>
          <w:u w:val="none"/>
        </w:rPr>
        <w:t>危险废物处置合同</w:t>
      </w:r>
    </w:p>
    <w:p w14:paraId="70BD9433">
      <w:pPr>
        <w:rPr>
          <w:rFonts w:hint="eastAsia"/>
          <w:b/>
          <w:bCs/>
          <w:u w:val="none"/>
        </w:rPr>
      </w:pPr>
      <w:r>
        <w:rPr>
          <w:rFonts w:hint="eastAsia"/>
          <w:b/>
          <w:bCs/>
          <w:u w:val="none"/>
        </w:rPr>
        <w:t>附件8</w:t>
      </w:r>
      <w:r>
        <w:rPr>
          <w:rFonts w:hint="eastAsia"/>
          <w:b/>
          <w:bCs/>
          <w:u w:val="none"/>
          <w:lang w:val="en-US" w:eastAsia="zh-CN"/>
        </w:rPr>
        <w:t xml:space="preserve"> </w:t>
      </w:r>
      <w:r>
        <w:rPr>
          <w:rFonts w:hint="eastAsia"/>
          <w:b/>
          <w:bCs/>
          <w:u w:val="none"/>
        </w:rPr>
        <w:t>废旧蓄电池回收协议</w:t>
      </w:r>
    </w:p>
    <w:p w14:paraId="4BC13216">
      <w:pPr>
        <w:rPr>
          <w:rFonts w:hint="eastAsia"/>
          <w:b/>
          <w:bCs/>
          <w:u w:val="none"/>
        </w:rPr>
      </w:pPr>
      <w:r>
        <w:rPr>
          <w:rFonts w:hint="eastAsia"/>
          <w:b/>
          <w:bCs/>
          <w:u w:val="none"/>
        </w:rPr>
        <w:t>附件</w:t>
      </w:r>
      <w:r>
        <w:rPr>
          <w:rFonts w:hint="eastAsia"/>
          <w:b/>
          <w:bCs/>
          <w:u w:val="none"/>
          <w:lang w:val="en-US" w:eastAsia="zh-CN"/>
        </w:rPr>
        <w:t xml:space="preserve">9 </w:t>
      </w:r>
      <w:r>
        <w:rPr>
          <w:rFonts w:hint="eastAsia"/>
          <w:b/>
          <w:bCs/>
          <w:u w:val="none"/>
        </w:rPr>
        <w:t>《阳和工业新区产业发展规划（2021-2025年）环境影响报告书》审查意见的函</w:t>
      </w:r>
    </w:p>
    <w:p w14:paraId="6C82B90A">
      <w:pPr>
        <w:rPr>
          <w:rFonts w:hint="eastAsia" w:eastAsia="宋体"/>
          <w:b/>
          <w:bCs/>
          <w:u w:val="none"/>
          <w:lang w:eastAsia="zh-CN"/>
        </w:rPr>
      </w:pPr>
      <w:r>
        <w:rPr>
          <w:rFonts w:hint="eastAsia"/>
          <w:b/>
          <w:bCs/>
          <w:u w:val="none"/>
        </w:rPr>
        <w:t>附件</w:t>
      </w:r>
      <w:r>
        <w:rPr>
          <w:rFonts w:hint="eastAsia"/>
          <w:b/>
          <w:bCs/>
          <w:u w:val="none"/>
          <w:lang w:val="en-US" w:eastAsia="zh-CN"/>
        </w:rPr>
        <w:t>10 《</w:t>
      </w:r>
      <w:r>
        <w:rPr>
          <w:rFonts w:hint="eastAsia"/>
          <w:b/>
          <w:bCs/>
          <w:u w:val="none"/>
        </w:rPr>
        <w:t>500kV柳南变电站220kV配套送出工程(噪声及固体废物除外)竣工环境保护验收意见</w:t>
      </w:r>
      <w:r>
        <w:rPr>
          <w:rFonts w:hint="eastAsia"/>
          <w:b/>
          <w:bCs/>
          <w:u w:val="none"/>
          <w:lang w:eastAsia="zh-CN"/>
        </w:rPr>
        <w:t>》</w:t>
      </w:r>
    </w:p>
    <w:p w14:paraId="1699281F">
      <w:pPr>
        <w:rPr>
          <w:rFonts w:hint="eastAsia" w:eastAsia="宋体"/>
          <w:b/>
          <w:bCs/>
          <w:u w:val="none"/>
          <w:lang w:eastAsia="zh-CN"/>
        </w:rPr>
      </w:pPr>
      <w:r>
        <w:rPr>
          <w:rFonts w:hint="eastAsia"/>
          <w:b/>
          <w:bCs/>
          <w:u w:val="none"/>
        </w:rPr>
        <w:t>附件</w:t>
      </w:r>
      <w:r>
        <w:rPr>
          <w:rFonts w:hint="eastAsia"/>
          <w:b/>
          <w:bCs/>
          <w:u w:val="none"/>
          <w:lang w:val="en-US" w:eastAsia="zh-CN"/>
        </w:rPr>
        <w:t>11 《</w:t>
      </w:r>
      <w:r>
        <w:rPr>
          <w:rFonts w:hint="eastAsia"/>
          <w:b/>
          <w:bCs/>
          <w:u w:val="none"/>
        </w:rPr>
        <w:t>110kV 江口送变电工程竣工环境保护验收意见</w:t>
      </w:r>
      <w:r>
        <w:rPr>
          <w:rFonts w:hint="eastAsia"/>
          <w:b/>
          <w:bCs/>
          <w:u w:val="none"/>
          <w:lang w:eastAsia="zh-CN"/>
        </w:rPr>
        <w:t>》</w:t>
      </w:r>
    </w:p>
    <w:p w14:paraId="0FCCD808">
      <w:pPr>
        <w:rPr>
          <w:rFonts w:hint="eastAsia" w:eastAsia="宋体"/>
          <w:b/>
          <w:bCs/>
          <w:u w:val="none"/>
          <w:lang w:eastAsia="zh-CN"/>
        </w:rPr>
      </w:pPr>
      <w:r>
        <w:rPr>
          <w:rFonts w:hint="eastAsia"/>
          <w:b/>
          <w:bCs/>
          <w:u w:val="none"/>
        </w:rPr>
        <w:t>附件</w:t>
      </w:r>
      <w:r>
        <w:rPr>
          <w:rFonts w:hint="eastAsia"/>
          <w:b/>
          <w:bCs/>
          <w:u w:val="none"/>
          <w:lang w:val="en-US" w:eastAsia="zh-CN"/>
        </w:rPr>
        <w:t>12 《关于220kV果山变电站扩建工程建设项目环境影响报告表的批复</w:t>
      </w:r>
      <w:r>
        <w:rPr>
          <w:rFonts w:hint="eastAsia"/>
          <w:b/>
          <w:bCs/>
          <w:u w:val="none"/>
          <w:lang w:eastAsia="zh-CN"/>
        </w:rPr>
        <w:t>》</w:t>
      </w:r>
    </w:p>
    <w:p w14:paraId="723CB1DA">
      <w:pPr>
        <w:rPr>
          <w:rFonts w:hint="eastAsia"/>
          <w:b/>
          <w:bCs/>
          <w:u w:val="none"/>
          <w:lang w:val="en-US" w:eastAsia="zh-CN"/>
        </w:rPr>
      </w:pPr>
    </w:p>
    <w:p w14:paraId="04BFAC02">
      <w:pPr>
        <w:rPr>
          <w:rFonts w:hint="eastAsia"/>
          <w:b/>
          <w:bCs/>
          <w:u w:val="none"/>
          <w:lang w:val="en-US" w:eastAsia="zh-CN"/>
        </w:rPr>
      </w:pPr>
    </w:p>
    <w:p w14:paraId="37B38927">
      <w:pPr>
        <w:rPr>
          <w:rFonts w:hint="eastAsia" w:eastAsia="宋体"/>
          <w:b/>
          <w:bCs/>
          <w:u w:val="none"/>
          <w:lang w:val="en-US" w:eastAsia="zh-CN"/>
        </w:rPr>
      </w:pPr>
      <w:r>
        <w:rPr>
          <w:rFonts w:hint="eastAsia"/>
          <w:b/>
          <w:bCs/>
          <w:u w:val="none"/>
          <w:lang w:val="en-US" w:eastAsia="zh-CN"/>
        </w:rPr>
        <w:t>附图：</w:t>
      </w:r>
    </w:p>
    <w:p w14:paraId="28E7A3B6">
      <w:pPr>
        <w:rPr>
          <w:rFonts w:hint="eastAsia"/>
          <w:b/>
          <w:bCs/>
          <w:u w:val="none"/>
        </w:rPr>
      </w:pPr>
      <w:r>
        <w:rPr>
          <w:rFonts w:hint="eastAsia"/>
          <w:b/>
          <w:bCs/>
          <w:u w:val="none"/>
        </w:rPr>
        <w:t>附图1</w:t>
      </w:r>
      <w:r>
        <w:rPr>
          <w:rFonts w:hint="eastAsia"/>
          <w:b/>
          <w:bCs/>
          <w:u w:val="none"/>
          <w:lang w:val="en-US" w:eastAsia="zh-CN"/>
        </w:rPr>
        <w:t xml:space="preserve"> </w:t>
      </w:r>
      <w:r>
        <w:rPr>
          <w:rFonts w:hint="eastAsia"/>
          <w:b/>
          <w:bCs/>
          <w:u w:val="none"/>
        </w:rPr>
        <w:t>220kV</w:t>
      </w:r>
      <w:r>
        <w:rPr>
          <w:rFonts w:hint="eastAsia"/>
          <w:b/>
          <w:bCs/>
          <w:u w:val="none"/>
          <w:lang w:val="en-US" w:eastAsia="zh-CN"/>
        </w:rPr>
        <w:t>果山</w:t>
      </w:r>
      <w:r>
        <w:rPr>
          <w:rFonts w:hint="eastAsia"/>
          <w:b/>
          <w:bCs/>
          <w:u w:val="none"/>
        </w:rPr>
        <w:t>变电站地理位置图</w:t>
      </w:r>
    </w:p>
    <w:p w14:paraId="5CA0572A">
      <w:pPr>
        <w:rPr>
          <w:rFonts w:hint="eastAsia"/>
          <w:b/>
          <w:bCs/>
          <w:u w:val="none"/>
        </w:rPr>
      </w:pPr>
      <w:r>
        <w:rPr>
          <w:rFonts w:hint="eastAsia"/>
          <w:b/>
          <w:bCs/>
          <w:u w:val="none"/>
        </w:rPr>
        <w:t>附图2本项目与三线一单分区管控图的位置关系图</w:t>
      </w:r>
    </w:p>
    <w:p w14:paraId="13646B4B">
      <w:pPr>
        <w:rPr>
          <w:rFonts w:hint="eastAsia"/>
          <w:b/>
          <w:bCs/>
          <w:u w:val="none"/>
        </w:rPr>
      </w:pPr>
      <w:r>
        <w:rPr>
          <w:rFonts w:hint="eastAsia"/>
          <w:b/>
          <w:bCs/>
          <w:u w:val="none"/>
        </w:rPr>
        <w:t>附图3本项目与主体功能区规划的位置关系图</w:t>
      </w:r>
    </w:p>
    <w:p w14:paraId="1F560014">
      <w:pPr>
        <w:rPr>
          <w:rFonts w:hint="eastAsia"/>
          <w:b/>
          <w:bCs/>
          <w:u w:val="none"/>
        </w:rPr>
      </w:pPr>
      <w:r>
        <w:rPr>
          <w:rFonts w:hint="eastAsia"/>
          <w:b/>
          <w:bCs/>
          <w:u w:val="none"/>
        </w:rPr>
        <w:t>附图4监测点位示意图</w:t>
      </w:r>
    </w:p>
    <w:p w14:paraId="1C4263B5">
      <w:pPr>
        <w:rPr>
          <w:rFonts w:hint="eastAsia"/>
          <w:b/>
          <w:bCs/>
          <w:u w:val="none"/>
        </w:rPr>
      </w:pPr>
      <w:r>
        <w:rPr>
          <w:rFonts w:hint="eastAsia"/>
          <w:b/>
          <w:bCs/>
          <w:u w:val="none"/>
        </w:rPr>
        <w:t>附图5</w:t>
      </w:r>
      <w:r>
        <w:rPr>
          <w:rFonts w:hint="eastAsia"/>
          <w:b/>
          <w:bCs/>
          <w:u w:val="none"/>
          <w:lang w:val="en-US" w:eastAsia="zh-CN"/>
        </w:rPr>
        <w:t>果山</w:t>
      </w:r>
      <w:r>
        <w:rPr>
          <w:rFonts w:hint="eastAsia"/>
          <w:b/>
          <w:bCs/>
          <w:u w:val="none"/>
        </w:rPr>
        <w:t>变电站四至图</w:t>
      </w:r>
    </w:p>
    <w:p w14:paraId="2E5AC6F2">
      <w:pPr>
        <w:rPr>
          <w:rFonts w:hint="eastAsia"/>
          <w:b/>
          <w:bCs/>
          <w:u w:val="none"/>
        </w:rPr>
      </w:pPr>
      <w:r>
        <w:rPr>
          <w:rFonts w:hint="eastAsia"/>
          <w:b/>
          <w:bCs/>
          <w:u w:val="none"/>
        </w:rPr>
        <w:t>附图6</w:t>
      </w:r>
      <w:r>
        <w:rPr>
          <w:rFonts w:hint="eastAsia"/>
          <w:b/>
          <w:bCs/>
          <w:u w:val="none"/>
          <w:lang w:val="en-US" w:eastAsia="zh-CN"/>
        </w:rPr>
        <w:t xml:space="preserve"> </w:t>
      </w:r>
      <w:r>
        <w:rPr>
          <w:rFonts w:hint="eastAsia"/>
          <w:b/>
          <w:bCs/>
          <w:u w:val="none"/>
        </w:rPr>
        <w:t>220kV</w:t>
      </w:r>
      <w:r>
        <w:rPr>
          <w:rFonts w:hint="eastAsia"/>
          <w:b/>
          <w:bCs/>
          <w:u w:val="none"/>
          <w:lang w:val="en-US" w:eastAsia="zh-CN"/>
        </w:rPr>
        <w:t>果山</w:t>
      </w:r>
      <w:r>
        <w:rPr>
          <w:rFonts w:hint="eastAsia"/>
          <w:b/>
          <w:bCs/>
          <w:u w:val="none"/>
        </w:rPr>
        <w:t>变电站总平面布置图</w:t>
      </w:r>
    </w:p>
    <w:p w14:paraId="5406E58D">
      <w:pPr>
        <w:rPr>
          <w:rFonts w:hint="eastAsia"/>
          <w:b/>
          <w:bCs/>
          <w:u w:val="none"/>
        </w:rPr>
      </w:pPr>
      <w:r>
        <w:rPr>
          <w:rFonts w:hint="eastAsia"/>
          <w:b/>
          <w:bCs/>
          <w:u w:val="none"/>
        </w:rPr>
        <w:t>附图7声功能区划图</w:t>
      </w:r>
    </w:p>
    <w:p w14:paraId="767C54AA">
      <w:pPr>
        <w:rPr>
          <w:rFonts w:hint="eastAsia"/>
          <w:b/>
          <w:bCs/>
          <w:u w:val="none"/>
        </w:rPr>
      </w:pPr>
      <w:r>
        <w:rPr>
          <w:rFonts w:hint="eastAsia"/>
          <w:b/>
          <w:bCs/>
          <w:u w:val="none"/>
        </w:rPr>
        <w:t>附图8本项目与</w:t>
      </w:r>
      <w:r>
        <w:rPr>
          <w:rFonts w:hint="eastAsia"/>
          <w:b/>
          <w:bCs/>
          <w:u w:val="none"/>
          <w:lang w:val="en-US" w:eastAsia="zh-CN"/>
        </w:rPr>
        <w:t>生态</w:t>
      </w:r>
      <w:r>
        <w:rPr>
          <w:rFonts w:hint="eastAsia"/>
          <w:b/>
          <w:bCs/>
          <w:u w:val="none"/>
        </w:rPr>
        <w:t>功能区规划的位置关系图</w:t>
      </w:r>
    </w:p>
    <w:p w14:paraId="288446F1">
      <w:pPr>
        <w:keepNext w:val="0"/>
        <w:keepLines w:val="0"/>
        <w:pageBreakBefore w:val="0"/>
        <w:widowControl w:val="0"/>
        <w:kinsoku/>
        <w:wordWrap/>
        <w:overflowPunct/>
        <w:topLinePunct w:val="0"/>
        <w:autoSpaceDE/>
        <w:autoSpaceDN/>
        <w:bidi w:val="0"/>
        <w:adjustRightInd/>
        <w:snapToGrid/>
        <w:textAlignment w:val="auto"/>
        <w:outlineLvl w:val="9"/>
        <w:rPr>
          <w:rFonts w:hint="default" w:eastAsia="宋体"/>
          <w:b/>
          <w:bCs/>
          <w:u w:val="none"/>
          <w:lang w:val="en-US" w:eastAsia="zh-CN"/>
        </w:rPr>
      </w:pPr>
      <w:r>
        <w:rPr>
          <w:b/>
          <w:bCs/>
          <w:u w:val="none"/>
        </w:rPr>
        <w:t>附图</w:t>
      </w:r>
      <w:r>
        <w:rPr>
          <w:rFonts w:hint="eastAsia"/>
          <w:b/>
          <w:bCs/>
          <w:u w:val="none"/>
          <w:lang w:val="en-US" w:eastAsia="zh-CN"/>
        </w:rPr>
        <w:t xml:space="preserve">9 </w:t>
      </w:r>
      <w:r>
        <w:rPr>
          <w:rFonts w:hint="eastAsia"/>
          <w:b/>
          <w:bCs/>
          <w:u w:val="none"/>
        </w:rPr>
        <w:t>220kV</w:t>
      </w:r>
      <w:r>
        <w:rPr>
          <w:rFonts w:hint="eastAsia"/>
          <w:b/>
          <w:bCs/>
          <w:u w:val="none"/>
          <w:lang w:val="en-US" w:eastAsia="zh-CN"/>
        </w:rPr>
        <w:t>果山</w:t>
      </w:r>
      <w:r>
        <w:rPr>
          <w:b/>
          <w:bCs/>
          <w:u w:val="none"/>
        </w:rPr>
        <w:t>变电站</w:t>
      </w:r>
      <w:r>
        <w:rPr>
          <w:rFonts w:hint="eastAsia"/>
          <w:b/>
          <w:bCs/>
          <w:u w:val="none"/>
          <w:lang w:val="en-US" w:eastAsia="zh-CN"/>
        </w:rPr>
        <w:t>与</w:t>
      </w:r>
      <w:r>
        <w:rPr>
          <w:rFonts w:hint="eastAsia"/>
          <w:b/>
          <w:bCs/>
        </w:rPr>
        <w:t>阳和工业新区产业发展规划（2021-2025年）</w:t>
      </w:r>
      <w:r>
        <w:rPr>
          <w:rFonts w:hint="eastAsia"/>
          <w:b/>
          <w:bCs/>
          <w:lang w:val="en-US" w:eastAsia="zh-CN"/>
        </w:rPr>
        <w:t>土地利用图位置关系</w:t>
      </w:r>
    </w:p>
    <w:p w14:paraId="4BFDA7A4">
      <w:pPr>
        <w:rPr>
          <w:b/>
          <w:bCs/>
          <w:u w:val="none"/>
        </w:rPr>
      </w:pPr>
      <w:r>
        <w:rPr>
          <w:rFonts w:hint="eastAsia"/>
          <w:b/>
          <w:bCs/>
          <w:u w:val="none"/>
        </w:rPr>
        <w:t>附图</w:t>
      </w:r>
      <w:r>
        <w:rPr>
          <w:rFonts w:hint="eastAsia"/>
          <w:b/>
          <w:bCs/>
          <w:u w:val="none"/>
          <w:lang w:val="en-US" w:eastAsia="zh-CN"/>
        </w:rPr>
        <w:t xml:space="preserve">10 </w:t>
      </w:r>
      <w:r>
        <w:rPr>
          <w:rFonts w:hint="eastAsia"/>
          <w:b/>
          <w:bCs/>
          <w:u w:val="none"/>
        </w:rPr>
        <w:t>220kV</w:t>
      </w:r>
      <w:r>
        <w:rPr>
          <w:rFonts w:hint="eastAsia"/>
          <w:b/>
          <w:bCs/>
          <w:u w:val="none"/>
          <w:lang w:val="en-US" w:eastAsia="zh-CN"/>
        </w:rPr>
        <w:t>果山</w:t>
      </w:r>
      <w:r>
        <w:rPr>
          <w:rFonts w:hint="eastAsia"/>
          <w:b/>
          <w:bCs/>
          <w:u w:val="none"/>
        </w:rPr>
        <w:t>变电站现状图</w:t>
      </w:r>
    </w:p>
    <w:p w14:paraId="1A0E6ED7">
      <w:pPr>
        <w:jc w:val="center"/>
        <w:rPr>
          <w:rFonts w:hint="eastAsia" w:ascii="宋体" w:hAnsi="宋体" w:eastAsia="宋体" w:cs="宋体"/>
          <w:b/>
          <w:bCs/>
          <w:sz w:val="30"/>
          <w:szCs w:val="30"/>
          <w:u w:val="none"/>
        </w:rPr>
        <w:sectPr>
          <w:footerReference r:id="rId6" w:type="default"/>
          <w:pgSz w:w="11906" w:h="16838"/>
          <w:pgMar w:top="1701" w:right="1531" w:bottom="1701" w:left="1531" w:header="851" w:footer="1077" w:gutter="0"/>
          <w:pgNumType w:start="1"/>
          <w:cols w:space="720" w:num="1"/>
          <w:docGrid w:linePitch="312" w:charSpace="0"/>
        </w:sectPr>
      </w:pPr>
    </w:p>
    <w:p w14:paraId="1F8E63B8">
      <w:pPr>
        <w:pStyle w:val="2"/>
        <w:rPr>
          <w:u w:val="none"/>
        </w:rPr>
      </w:pPr>
      <w:bookmarkStart w:id="2" w:name="_Toc29664"/>
      <w:bookmarkStart w:id="3" w:name="_Toc2033"/>
      <w:bookmarkStart w:id="4" w:name="_Toc5855"/>
      <w:bookmarkStart w:id="5" w:name="_Toc31597"/>
      <w:r>
        <w:rPr>
          <w:rFonts w:hint="eastAsia"/>
          <w:u w:val="none"/>
        </w:rPr>
        <w:t>一、建设项目基本情况</w:t>
      </w:r>
      <w:bookmarkEnd w:id="2"/>
      <w:bookmarkEnd w:id="3"/>
      <w:bookmarkEnd w:id="4"/>
      <w:bookmarkEnd w:id="5"/>
    </w:p>
    <w:tbl>
      <w:tblPr>
        <w:tblStyle w:val="19"/>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21"/>
        <w:gridCol w:w="1620"/>
        <w:gridCol w:w="2061"/>
        <w:gridCol w:w="8"/>
        <w:gridCol w:w="3529"/>
      </w:tblGrid>
      <w:tr w14:paraId="4F7B3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21" w:type="dxa"/>
            <w:tcMar>
              <w:top w:w="16" w:type="dxa"/>
              <w:left w:w="16" w:type="dxa"/>
              <w:right w:w="16" w:type="dxa"/>
            </w:tcMar>
            <w:vAlign w:val="center"/>
          </w:tcPr>
          <w:p w14:paraId="3C4C0A62">
            <w:pPr>
              <w:adjustRightInd w:val="0"/>
              <w:snapToGrid w:val="0"/>
              <w:spacing w:line="240" w:lineRule="auto"/>
              <w:jc w:val="center"/>
              <w:rPr>
                <w:u w:val="none"/>
              </w:rPr>
            </w:pPr>
            <w:r>
              <w:rPr>
                <w:u w:val="none"/>
              </w:rPr>
              <w:t>建设项目名称</w:t>
            </w:r>
          </w:p>
        </w:tc>
        <w:tc>
          <w:tcPr>
            <w:tcW w:w="7218" w:type="dxa"/>
            <w:gridSpan w:val="4"/>
            <w:vAlign w:val="center"/>
          </w:tcPr>
          <w:p w14:paraId="344CB502">
            <w:pPr>
              <w:adjustRightInd w:val="0"/>
              <w:snapToGrid w:val="0"/>
              <w:spacing w:line="240" w:lineRule="auto"/>
              <w:jc w:val="center"/>
              <w:rPr>
                <w:u w:val="none"/>
              </w:rPr>
            </w:pPr>
            <w:r>
              <w:rPr>
                <w:rFonts w:hint="eastAsia"/>
                <w:snapToGrid w:val="0"/>
                <w:kern w:val="0"/>
                <w:u w:val="none"/>
              </w:rPr>
              <w:t>220千伏果山变电站扩建工程</w:t>
            </w:r>
          </w:p>
        </w:tc>
      </w:tr>
      <w:tr w14:paraId="40785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21" w:type="dxa"/>
            <w:tcMar>
              <w:top w:w="16" w:type="dxa"/>
              <w:left w:w="16" w:type="dxa"/>
              <w:right w:w="16" w:type="dxa"/>
            </w:tcMar>
            <w:vAlign w:val="center"/>
          </w:tcPr>
          <w:p w14:paraId="7712F9EC">
            <w:pPr>
              <w:adjustRightInd w:val="0"/>
              <w:snapToGrid w:val="0"/>
              <w:spacing w:line="240" w:lineRule="auto"/>
              <w:jc w:val="center"/>
              <w:rPr>
                <w:u w:val="none"/>
              </w:rPr>
            </w:pPr>
            <w:r>
              <w:rPr>
                <w:u w:val="none"/>
              </w:rPr>
              <w:t>项目代码</w:t>
            </w:r>
          </w:p>
        </w:tc>
        <w:tc>
          <w:tcPr>
            <w:tcW w:w="7218" w:type="dxa"/>
            <w:gridSpan w:val="4"/>
            <w:vAlign w:val="center"/>
          </w:tcPr>
          <w:p w14:paraId="2F74F3F5">
            <w:pPr>
              <w:spacing w:line="240" w:lineRule="auto"/>
              <w:jc w:val="center"/>
              <w:rPr>
                <w:u w:val="none"/>
              </w:rPr>
            </w:pPr>
            <w:r>
              <w:rPr>
                <w:rFonts w:hint="eastAsia"/>
              </w:rPr>
              <w:t>2311-450212-89-01-852633</w:t>
            </w:r>
          </w:p>
        </w:tc>
      </w:tr>
      <w:tr w14:paraId="2F710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21" w:type="dxa"/>
            <w:tcMar>
              <w:top w:w="16" w:type="dxa"/>
              <w:left w:w="16" w:type="dxa"/>
              <w:right w:w="16" w:type="dxa"/>
            </w:tcMar>
            <w:vAlign w:val="center"/>
          </w:tcPr>
          <w:p w14:paraId="009053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u w:val="none"/>
              </w:rPr>
            </w:pPr>
            <w:r>
              <w:rPr>
                <w:u w:val="none"/>
              </w:rPr>
              <w:t>建设单位联系人</w:t>
            </w:r>
          </w:p>
        </w:tc>
        <w:tc>
          <w:tcPr>
            <w:tcW w:w="1620" w:type="dxa"/>
            <w:vAlign w:val="center"/>
          </w:tcPr>
          <w:p w14:paraId="4C44CB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u w:val="none"/>
              </w:rPr>
            </w:pPr>
            <w:r>
              <w:rPr>
                <w:rFonts w:hint="eastAsia"/>
                <w:szCs w:val="21"/>
                <w:u w:val="none"/>
                <w:lang w:val="en-US" w:eastAsia="zh-CN"/>
              </w:rPr>
              <w:t>张志飞</w:t>
            </w:r>
          </w:p>
        </w:tc>
        <w:tc>
          <w:tcPr>
            <w:tcW w:w="2069" w:type="dxa"/>
            <w:gridSpan w:val="2"/>
            <w:vAlign w:val="center"/>
          </w:tcPr>
          <w:p w14:paraId="780C8C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u w:val="none"/>
              </w:rPr>
            </w:pPr>
            <w:r>
              <w:rPr>
                <w:szCs w:val="21"/>
                <w:u w:val="none"/>
              </w:rPr>
              <w:t>联系方式</w:t>
            </w:r>
          </w:p>
        </w:tc>
        <w:tc>
          <w:tcPr>
            <w:tcW w:w="3529" w:type="dxa"/>
            <w:vAlign w:val="center"/>
          </w:tcPr>
          <w:p w14:paraId="088E87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u w:val="none"/>
              </w:rPr>
            </w:pPr>
            <w:r>
              <w:rPr>
                <w:rFonts w:hint="default" w:ascii="Times New Roman" w:hAnsi="Times New Roman" w:eastAsia="TimesNewRomanPSMT" w:cs="Times New Roman"/>
                <w:sz w:val="21"/>
                <w:szCs w:val="21"/>
                <w:u w:val="none"/>
              </w:rPr>
              <w:t>0772-3893236</w:t>
            </w:r>
          </w:p>
        </w:tc>
      </w:tr>
      <w:tr w14:paraId="7A240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821" w:type="dxa"/>
            <w:tcMar>
              <w:top w:w="16" w:type="dxa"/>
              <w:left w:w="16" w:type="dxa"/>
              <w:right w:w="16" w:type="dxa"/>
            </w:tcMar>
            <w:vAlign w:val="center"/>
          </w:tcPr>
          <w:p w14:paraId="6FFB57E1">
            <w:pPr>
              <w:adjustRightInd w:val="0"/>
              <w:snapToGrid w:val="0"/>
              <w:spacing w:line="240" w:lineRule="auto"/>
              <w:jc w:val="center"/>
              <w:rPr>
                <w:u w:val="none"/>
              </w:rPr>
            </w:pPr>
            <w:r>
              <w:rPr>
                <w:u w:val="none"/>
              </w:rPr>
              <w:t>建设地点</w:t>
            </w:r>
          </w:p>
        </w:tc>
        <w:tc>
          <w:tcPr>
            <w:tcW w:w="7218" w:type="dxa"/>
            <w:gridSpan w:val="4"/>
            <w:vAlign w:val="center"/>
          </w:tcPr>
          <w:p w14:paraId="57D52DD4">
            <w:pPr>
              <w:adjustRightInd w:val="0"/>
              <w:snapToGrid w:val="0"/>
              <w:spacing w:line="240" w:lineRule="auto"/>
              <w:jc w:val="center"/>
              <w:rPr>
                <w:u w:val="none"/>
              </w:rPr>
            </w:pPr>
            <w:r>
              <w:rPr>
                <w:u w:val="none"/>
              </w:rPr>
              <w:t>广西壮族自治区</w:t>
            </w:r>
            <w:r>
              <w:rPr>
                <w:rFonts w:hint="eastAsia"/>
                <w:u w:val="none"/>
                <w:lang w:val="en-US" w:eastAsia="zh-CN"/>
              </w:rPr>
              <w:t>柳州</w:t>
            </w:r>
            <w:r>
              <w:rPr>
                <w:u w:val="none"/>
              </w:rPr>
              <w:t>市</w:t>
            </w:r>
            <w:r>
              <w:rPr>
                <w:rFonts w:hint="eastAsia"/>
                <w:u w:val="none"/>
                <w:lang w:eastAsia="zh-CN"/>
              </w:rPr>
              <w:t>阳和工业新区东部片区燕山东侧</w:t>
            </w:r>
          </w:p>
        </w:tc>
      </w:tr>
      <w:tr w14:paraId="0E60A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21" w:type="dxa"/>
            <w:tcMar>
              <w:top w:w="16" w:type="dxa"/>
              <w:left w:w="16" w:type="dxa"/>
              <w:right w:w="16" w:type="dxa"/>
            </w:tcMar>
            <w:vAlign w:val="center"/>
          </w:tcPr>
          <w:p w14:paraId="6B8B2CDC">
            <w:pPr>
              <w:adjustRightInd w:val="0"/>
              <w:snapToGrid w:val="0"/>
              <w:spacing w:line="240" w:lineRule="auto"/>
              <w:jc w:val="center"/>
              <w:rPr>
                <w:u w:val="none"/>
              </w:rPr>
            </w:pPr>
            <w:r>
              <w:rPr>
                <w:u w:val="none"/>
              </w:rPr>
              <w:t>地理坐标</w:t>
            </w:r>
          </w:p>
        </w:tc>
        <w:tc>
          <w:tcPr>
            <w:tcW w:w="7218" w:type="dxa"/>
            <w:gridSpan w:val="4"/>
            <w:vAlign w:val="center"/>
          </w:tcPr>
          <w:p w14:paraId="573AD5E2">
            <w:pPr>
              <w:adjustRightInd w:val="0"/>
              <w:snapToGrid w:val="0"/>
              <w:spacing w:line="240" w:lineRule="auto"/>
              <w:jc w:val="center"/>
              <w:rPr>
                <w:u w:val="none"/>
              </w:rPr>
            </w:pPr>
            <w:r>
              <w:rPr>
                <w:u w:val="none"/>
              </w:rPr>
              <w:t>站址中心坐标：（E109°30'27.529"</w:t>
            </w:r>
            <w:r>
              <w:rPr>
                <w:u w:val="none"/>
              </w:rPr>
              <w:tab/>
            </w:r>
            <w:r>
              <w:rPr>
                <w:rFonts w:hint="eastAsia"/>
                <w:u w:val="none"/>
              </w:rPr>
              <w:t>，</w:t>
            </w:r>
            <w:r>
              <w:rPr>
                <w:u w:val="none"/>
              </w:rPr>
              <w:t>N21°31'47.611"）</w:t>
            </w:r>
          </w:p>
        </w:tc>
      </w:tr>
      <w:tr w14:paraId="1BEAB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821" w:type="dxa"/>
            <w:tcMar>
              <w:top w:w="16" w:type="dxa"/>
              <w:left w:w="16" w:type="dxa"/>
              <w:right w:w="16" w:type="dxa"/>
            </w:tcMar>
            <w:vAlign w:val="center"/>
          </w:tcPr>
          <w:p w14:paraId="48B39EF4">
            <w:pPr>
              <w:adjustRightInd w:val="0"/>
              <w:snapToGrid w:val="0"/>
              <w:spacing w:line="240" w:lineRule="auto"/>
              <w:jc w:val="center"/>
              <w:rPr>
                <w:u w:val="none"/>
              </w:rPr>
            </w:pPr>
            <w:r>
              <w:rPr>
                <w:u w:val="none"/>
              </w:rPr>
              <w:t>建设项目</w:t>
            </w:r>
          </w:p>
          <w:p w14:paraId="07AFAF1B">
            <w:pPr>
              <w:adjustRightInd w:val="0"/>
              <w:snapToGrid w:val="0"/>
              <w:spacing w:line="240" w:lineRule="auto"/>
              <w:jc w:val="center"/>
              <w:rPr>
                <w:u w:val="none"/>
              </w:rPr>
            </w:pPr>
            <w:r>
              <w:rPr>
                <w:u w:val="none"/>
              </w:rPr>
              <w:t>行业类别</w:t>
            </w:r>
          </w:p>
        </w:tc>
        <w:tc>
          <w:tcPr>
            <w:tcW w:w="1620" w:type="dxa"/>
            <w:vAlign w:val="center"/>
          </w:tcPr>
          <w:p w14:paraId="3F889A82">
            <w:pPr>
              <w:keepNext w:val="0"/>
              <w:keepLines w:val="0"/>
              <w:widowControl/>
              <w:suppressLineNumbers w:val="0"/>
              <w:jc w:val="left"/>
              <w:rPr>
                <w:color w:val="auto"/>
                <w:u w:val="none"/>
              </w:rPr>
            </w:pPr>
            <w:r>
              <w:rPr>
                <w:rFonts w:hint="eastAsia" w:ascii="宋体" w:hAnsi="宋体" w:eastAsia="宋体" w:cs="宋体"/>
                <w:color w:val="auto"/>
                <w:kern w:val="0"/>
                <w:sz w:val="24"/>
                <w:szCs w:val="24"/>
                <w:lang w:val="en-US" w:eastAsia="zh-CN" w:bidi="ar"/>
              </w:rPr>
              <w:t>五十五、核与辐射</w:t>
            </w:r>
            <w:r>
              <w:rPr>
                <w:snapToGrid w:val="0"/>
                <w:color w:val="auto"/>
                <w:kern w:val="0"/>
                <w:u w:val="none"/>
              </w:rPr>
              <w:t>161输变电工程</w:t>
            </w:r>
          </w:p>
        </w:tc>
        <w:tc>
          <w:tcPr>
            <w:tcW w:w="2061" w:type="dxa"/>
            <w:vAlign w:val="center"/>
          </w:tcPr>
          <w:p w14:paraId="69FC9B3E">
            <w:pPr>
              <w:adjustRightInd w:val="0"/>
              <w:snapToGrid w:val="0"/>
              <w:spacing w:line="240" w:lineRule="auto"/>
              <w:jc w:val="center"/>
              <w:rPr>
                <w:color w:val="auto"/>
                <w:u w:val="none"/>
              </w:rPr>
            </w:pPr>
            <w:r>
              <w:rPr>
                <w:color w:val="auto"/>
                <w:u w:val="none"/>
              </w:rPr>
              <w:t>用地（用海）面积（m</w:t>
            </w:r>
            <w:r>
              <w:rPr>
                <w:color w:val="auto"/>
                <w:u w:val="none"/>
                <w:vertAlign w:val="superscript"/>
              </w:rPr>
              <w:t>2</w:t>
            </w:r>
            <w:r>
              <w:rPr>
                <w:color w:val="auto"/>
                <w:u w:val="none"/>
              </w:rPr>
              <w:t>）/长度（km）</w:t>
            </w:r>
          </w:p>
        </w:tc>
        <w:tc>
          <w:tcPr>
            <w:tcW w:w="3537" w:type="dxa"/>
            <w:gridSpan w:val="2"/>
            <w:vAlign w:val="center"/>
          </w:tcPr>
          <w:p w14:paraId="213A68C6">
            <w:pPr>
              <w:adjustRightInd w:val="0"/>
              <w:snapToGrid w:val="0"/>
              <w:spacing w:line="240" w:lineRule="auto"/>
              <w:jc w:val="center"/>
              <w:rPr>
                <w:rFonts w:hint="default"/>
                <w:color w:val="auto"/>
                <w:u w:val="none"/>
                <w:lang w:val="en-US"/>
              </w:rPr>
            </w:pPr>
            <w:r>
              <w:rPr>
                <w:rFonts w:hint="eastAsia" w:ascii="Times New Roman" w:hAnsi="Times New Roman" w:eastAsia="宋体" w:cs="Times New Roman"/>
                <w:color w:val="auto"/>
                <w:kern w:val="0"/>
                <w:sz w:val="24"/>
                <w:szCs w:val="24"/>
                <w:highlight w:val="none"/>
                <w:u w:val="none"/>
                <w:lang w:val="en-US" w:eastAsia="zh-CN"/>
              </w:rPr>
              <w:t>3.13</w:t>
            </w:r>
            <w:r>
              <w:rPr>
                <w:rFonts w:hint="eastAsia" w:cs="Times New Roman"/>
                <w:color w:val="auto"/>
                <w:kern w:val="0"/>
                <w:sz w:val="24"/>
                <w:szCs w:val="24"/>
                <w:highlight w:val="none"/>
                <w:u w:val="none"/>
                <w:lang w:val="en-US" w:eastAsia="zh-CN"/>
              </w:rPr>
              <w:t>km</w:t>
            </w:r>
            <w:r>
              <w:rPr>
                <w:rFonts w:hint="eastAsia" w:cs="Times New Roman"/>
                <w:color w:val="auto"/>
                <w:kern w:val="0"/>
                <w:sz w:val="24"/>
                <w:szCs w:val="24"/>
                <w:highlight w:val="none"/>
                <w:u w:val="none"/>
                <w:vertAlign w:val="superscript"/>
                <w:lang w:val="en-US" w:eastAsia="zh-CN"/>
              </w:rPr>
              <w:t>2</w:t>
            </w:r>
            <w:r>
              <w:rPr>
                <w:rFonts w:hint="eastAsia"/>
                <w:color w:val="auto"/>
                <w:u w:val="none"/>
                <w:lang w:val="en-US" w:eastAsia="zh-CN"/>
              </w:rPr>
              <w:t>（本期在站内预留位置扩建，不新增用地。）</w:t>
            </w:r>
          </w:p>
        </w:tc>
      </w:tr>
      <w:tr w14:paraId="104A9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21" w:type="dxa"/>
            <w:tcMar>
              <w:top w:w="16" w:type="dxa"/>
              <w:left w:w="16" w:type="dxa"/>
              <w:right w:w="16" w:type="dxa"/>
            </w:tcMar>
            <w:vAlign w:val="center"/>
          </w:tcPr>
          <w:p w14:paraId="7FEF4F93">
            <w:pPr>
              <w:adjustRightInd w:val="0"/>
              <w:snapToGrid w:val="0"/>
              <w:jc w:val="center"/>
              <w:rPr>
                <w:u w:val="none"/>
              </w:rPr>
            </w:pPr>
            <w:r>
              <w:rPr>
                <w:u w:val="none"/>
              </w:rPr>
              <w:t>建设性质</w:t>
            </w:r>
          </w:p>
        </w:tc>
        <w:tc>
          <w:tcPr>
            <w:tcW w:w="1620" w:type="dxa"/>
            <w:vAlign w:val="center"/>
          </w:tcPr>
          <w:p w14:paraId="0E9B6A3C">
            <w:pPr>
              <w:adjustRightInd w:val="0"/>
              <w:snapToGrid w:val="0"/>
              <w:jc w:val="left"/>
              <w:rPr>
                <w:u w:val="none"/>
              </w:rPr>
            </w:pPr>
            <w:r>
              <w:rPr>
                <w:rFonts w:hint="eastAsia"/>
                <w:u w:val="none"/>
                <w:lang w:eastAsia="zh-CN"/>
              </w:rPr>
              <w:t>☐</w:t>
            </w:r>
            <w:r>
              <w:rPr>
                <w:u w:val="none"/>
              </w:rPr>
              <w:t>新建（迁建）</w:t>
            </w:r>
          </w:p>
          <w:p w14:paraId="26CF2FFF">
            <w:pPr>
              <w:adjustRightInd w:val="0"/>
              <w:snapToGrid w:val="0"/>
              <w:jc w:val="left"/>
              <w:rPr>
                <w:u w:val="none"/>
              </w:rPr>
            </w:pPr>
            <w:r>
              <w:rPr>
                <w:rFonts w:hint="eastAsia"/>
                <w:u w:val="none"/>
                <w:lang w:eastAsia="zh-CN"/>
              </w:rPr>
              <w:t>☐</w:t>
            </w:r>
            <w:r>
              <w:rPr>
                <w:u w:val="none"/>
              </w:rPr>
              <w:t>改建</w:t>
            </w:r>
          </w:p>
          <w:p w14:paraId="3A37C41E">
            <w:pPr>
              <w:adjustRightInd w:val="0"/>
              <w:snapToGrid w:val="0"/>
              <w:jc w:val="left"/>
              <w:rPr>
                <w:u w:val="none"/>
              </w:rPr>
            </w:pPr>
            <w:r>
              <w:rPr>
                <w:rFonts w:hint="eastAsia"/>
                <w:u w:val="none"/>
                <w:lang w:eastAsia="zh-CN"/>
              </w:rPr>
              <w:t>☑</w:t>
            </w:r>
            <w:r>
              <w:rPr>
                <w:u w:val="none"/>
              </w:rPr>
              <w:t>扩建</w:t>
            </w:r>
          </w:p>
          <w:p w14:paraId="58A9215A">
            <w:pPr>
              <w:adjustRightInd w:val="0"/>
              <w:snapToGrid w:val="0"/>
              <w:jc w:val="left"/>
              <w:rPr>
                <w:u w:val="none"/>
              </w:rPr>
            </w:pPr>
            <w:r>
              <w:rPr>
                <w:rFonts w:hint="eastAsia"/>
                <w:u w:val="none"/>
                <w:lang w:eastAsia="zh-CN"/>
              </w:rPr>
              <w:t>□</w:t>
            </w:r>
            <w:r>
              <w:rPr>
                <w:u w:val="none"/>
              </w:rPr>
              <w:t>技术改造</w:t>
            </w:r>
          </w:p>
        </w:tc>
        <w:tc>
          <w:tcPr>
            <w:tcW w:w="2061" w:type="dxa"/>
            <w:vAlign w:val="center"/>
          </w:tcPr>
          <w:p w14:paraId="12B60D80">
            <w:pPr>
              <w:adjustRightInd w:val="0"/>
              <w:snapToGrid w:val="0"/>
              <w:jc w:val="center"/>
              <w:rPr>
                <w:u w:val="none"/>
              </w:rPr>
            </w:pPr>
            <w:r>
              <w:rPr>
                <w:u w:val="none"/>
              </w:rPr>
              <w:t>建设项目</w:t>
            </w:r>
          </w:p>
          <w:p w14:paraId="120C0869">
            <w:pPr>
              <w:adjustRightInd w:val="0"/>
              <w:snapToGrid w:val="0"/>
              <w:jc w:val="center"/>
              <w:rPr>
                <w:u w:val="none"/>
              </w:rPr>
            </w:pPr>
            <w:r>
              <w:rPr>
                <w:u w:val="none"/>
              </w:rPr>
              <w:t>申报情形</w:t>
            </w:r>
          </w:p>
        </w:tc>
        <w:tc>
          <w:tcPr>
            <w:tcW w:w="3537" w:type="dxa"/>
            <w:gridSpan w:val="2"/>
            <w:vAlign w:val="center"/>
          </w:tcPr>
          <w:p w14:paraId="623FEDB4">
            <w:pPr>
              <w:adjustRightInd w:val="0"/>
              <w:snapToGrid w:val="0"/>
              <w:jc w:val="left"/>
              <w:rPr>
                <w:u w:val="none"/>
              </w:rPr>
            </w:pPr>
            <w:r>
              <w:rPr>
                <w:rFonts w:hint="eastAsia"/>
                <w:u w:val="none"/>
                <w:lang w:eastAsia="zh-CN"/>
              </w:rPr>
              <w:t>☐</w:t>
            </w:r>
            <w:r>
              <w:rPr>
                <w:u w:val="none"/>
              </w:rPr>
              <w:t>首次申报项目</w:t>
            </w:r>
          </w:p>
          <w:p w14:paraId="532F8911">
            <w:pPr>
              <w:adjustRightInd w:val="0"/>
              <w:snapToGrid w:val="0"/>
              <w:jc w:val="left"/>
              <w:rPr>
                <w:u w:val="none"/>
              </w:rPr>
            </w:pPr>
            <w:r>
              <w:rPr>
                <w:rFonts w:hint="eastAsia"/>
                <w:u w:val="none"/>
                <w:lang w:eastAsia="zh-CN"/>
              </w:rPr>
              <w:t>☐</w:t>
            </w:r>
            <w:r>
              <w:rPr>
                <w:u w:val="none"/>
              </w:rPr>
              <w:t>不予批准后再次申报项目</w:t>
            </w:r>
          </w:p>
          <w:p w14:paraId="1EAA6BFB">
            <w:pPr>
              <w:adjustRightInd w:val="0"/>
              <w:snapToGrid w:val="0"/>
              <w:jc w:val="left"/>
              <w:rPr>
                <w:u w:val="none"/>
              </w:rPr>
            </w:pPr>
            <w:r>
              <w:rPr>
                <w:rFonts w:hint="eastAsia"/>
                <w:u w:val="none"/>
                <w:lang w:eastAsia="zh-CN"/>
              </w:rPr>
              <w:t>☑</w:t>
            </w:r>
            <w:r>
              <w:rPr>
                <w:u w:val="none"/>
              </w:rPr>
              <w:t>超五年重新审核项目</w:t>
            </w:r>
          </w:p>
          <w:p w14:paraId="4C89DFA8">
            <w:pPr>
              <w:adjustRightInd w:val="0"/>
              <w:snapToGrid w:val="0"/>
              <w:rPr>
                <w:u w:val="none"/>
              </w:rPr>
            </w:pPr>
            <w:r>
              <w:rPr>
                <w:rFonts w:hint="eastAsia"/>
                <w:u w:val="none"/>
                <w:lang w:eastAsia="zh-CN"/>
              </w:rPr>
              <w:t>☐</w:t>
            </w:r>
            <w:r>
              <w:rPr>
                <w:u w:val="none"/>
              </w:rPr>
              <w:t>重大变动重新报批项目</w:t>
            </w:r>
          </w:p>
        </w:tc>
      </w:tr>
      <w:tr w14:paraId="56369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821" w:type="dxa"/>
            <w:tcMar>
              <w:top w:w="16" w:type="dxa"/>
              <w:left w:w="16" w:type="dxa"/>
              <w:right w:w="16" w:type="dxa"/>
            </w:tcMar>
            <w:vAlign w:val="center"/>
          </w:tcPr>
          <w:p w14:paraId="3D35BA10">
            <w:pPr>
              <w:adjustRightInd w:val="0"/>
              <w:snapToGrid w:val="0"/>
              <w:jc w:val="center"/>
              <w:rPr>
                <w:u w:val="none"/>
              </w:rPr>
            </w:pPr>
            <w:r>
              <w:rPr>
                <w:u w:val="none"/>
              </w:rPr>
              <w:t>项目审批（核准/</w:t>
            </w:r>
          </w:p>
          <w:p w14:paraId="47634306">
            <w:pPr>
              <w:adjustRightInd w:val="0"/>
              <w:snapToGrid w:val="0"/>
              <w:jc w:val="center"/>
              <w:rPr>
                <w:u w:val="none"/>
              </w:rPr>
            </w:pPr>
            <w:r>
              <w:rPr>
                <w:u w:val="none"/>
              </w:rPr>
              <w:t>备案）部门（选填）</w:t>
            </w:r>
          </w:p>
        </w:tc>
        <w:tc>
          <w:tcPr>
            <w:tcW w:w="1620" w:type="dxa"/>
            <w:vAlign w:val="center"/>
          </w:tcPr>
          <w:p w14:paraId="5702E524">
            <w:pPr>
              <w:adjustRightInd w:val="0"/>
              <w:snapToGrid w:val="0"/>
              <w:jc w:val="center"/>
              <w:rPr>
                <w:u w:val="none"/>
              </w:rPr>
            </w:pPr>
            <w:r>
              <w:rPr>
                <w:rFonts w:hint="eastAsia"/>
                <w:u w:val="none"/>
              </w:rPr>
              <w:t>柳州市北部生态新区行政审批局</w:t>
            </w:r>
          </w:p>
        </w:tc>
        <w:tc>
          <w:tcPr>
            <w:tcW w:w="2061" w:type="dxa"/>
            <w:vAlign w:val="center"/>
          </w:tcPr>
          <w:p w14:paraId="30F8AC27">
            <w:pPr>
              <w:adjustRightInd w:val="0"/>
              <w:snapToGrid w:val="0"/>
              <w:jc w:val="center"/>
              <w:rPr>
                <w:u w:val="none"/>
              </w:rPr>
            </w:pPr>
            <w:r>
              <w:rPr>
                <w:u w:val="none"/>
              </w:rPr>
              <w:t>项目审批（核准/</w:t>
            </w:r>
          </w:p>
          <w:p w14:paraId="371B2C9D">
            <w:pPr>
              <w:adjustRightInd w:val="0"/>
              <w:snapToGrid w:val="0"/>
              <w:jc w:val="center"/>
              <w:rPr>
                <w:u w:val="none"/>
              </w:rPr>
            </w:pPr>
            <w:r>
              <w:rPr>
                <w:u w:val="none"/>
              </w:rPr>
              <w:t>备案）文号（选填）</w:t>
            </w:r>
          </w:p>
        </w:tc>
        <w:tc>
          <w:tcPr>
            <w:tcW w:w="3537" w:type="dxa"/>
            <w:gridSpan w:val="2"/>
            <w:vAlign w:val="center"/>
          </w:tcPr>
          <w:p w14:paraId="014BFFFA">
            <w:pPr>
              <w:jc w:val="center"/>
              <w:rPr>
                <w:u w:val="none"/>
              </w:rPr>
            </w:pPr>
            <w:r>
              <w:rPr>
                <w:rFonts w:hint="eastAsia"/>
                <w:u w:val="none"/>
              </w:rPr>
              <w:t>北审批投资核</w:t>
            </w:r>
            <w:r>
              <w:rPr>
                <w:rFonts w:hint="eastAsia"/>
                <w:u w:val="none"/>
                <w:lang w:eastAsia="zh-CN"/>
              </w:rPr>
              <w:t>〔2024〕1号</w:t>
            </w:r>
          </w:p>
        </w:tc>
      </w:tr>
      <w:tr w14:paraId="1D104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821" w:type="dxa"/>
            <w:tcMar>
              <w:top w:w="16" w:type="dxa"/>
              <w:left w:w="16" w:type="dxa"/>
              <w:right w:w="16" w:type="dxa"/>
            </w:tcMar>
            <w:vAlign w:val="center"/>
          </w:tcPr>
          <w:p w14:paraId="4B8F1B65">
            <w:pPr>
              <w:adjustRightInd w:val="0"/>
              <w:snapToGrid w:val="0"/>
              <w:spacing w:line="240" w:lineRule="auto"/>
              <w:jc w:val="center"/>
              <w:rPr>
                <w:u w:val="none"/>
              </w:rPr>
            </w:pPr>
            <w:r>
              <w:rPr>
                <w:u w:val="none"/>
              </w:rPr>
              <w:t>总投资（万元）</w:t>
            </w:r>
          </w:p>
        </w:tc>
        <w:tc>
          <w:tcPr>
            <w:tcW w:w="1620" w:type="dxa"/>
            <w:vAlign w:val="center"/>
          </w:tcPr>
          <w:p w14:paraId="442C059D">
            <w:pPr>
              <w:adjustRightInd w:val="0"/>
              <w:snapToGrid w:val="0"/>
              <w:spacing w:line="240" w:lineRule="auto"/>
              <w:jc w:val="center"/>
              <w:rPr>
                <w:rFonts w:hint="default" w:eastAsia="宋体"/>
                <w:u w:val="none"/>
                <w:lang w:val="en-US" w:eastAsia="zh-CN"/>
              </w:rPr>
            </w:pPr>
            <w:r>
              <w:rPr>
                <w:rFonts w:hint="eastAsia"/>
                <w:u w:val="none"/>
                <w:lang w:val="en-US" w:eastAsia="zh-CN"/>
              </w:rPr>
              <w:t>2261</w:t>
            </w:r>
          </w:p>
        </w:tc>
        <w:tc>
          <w:tcPr>
            <w:tcW w:w="2061" w:type="dxa"/>
            <w:tcMar>
              <w:top w:w="16" w:type="dxa"/>
              <w:left w:w="16" w:type="dxa"/>
              <w:right w:w="16" w:type="dxa"/>
            </w:tcMar>
            <w:vAlign w:val="center"/>
          </w:tcPr>
          <w:p w14:paraId="189DAD53">
            <w:pPr>
              <w:adjustRightInd w:val="0"/>
              <w:snapToGrid w:val="0"/>
              <w:spacing w:line="240" w:lineRule="auto"/>
              <w:jc w:val="center"/>
              <w:rPr>
                <w:u w:val="none"/>
              </w:rPr>
            </w:pPr>
            <w:r>
              <w:rPr>
                <w:u w:val="none"/>
              </w:rPr>
              <w:t>环保投资（万元）</w:t>
            </w:r>
          </w:p>
        </w:tc>
        <w:tc>
          <w:tcPr>
            <w:tcW w:w="3537" w:type="dxa"/>
            <w:gridSpan w:val="2"/>
            <w:vAlign w:val="center"/>
          </w:tcPr>
          <w:p w14:paraId="43A2E150">
            <w:pPr>
              <w:adjustRightInd w:val="0"/>
              <w:snapToGrid w:val="0"/>
              <w:spacing w:line="240" w:lineRule="auto"/>
              <w:jc w:val="center"/>
              <w:rPr>
                <w:u w:val="none"/>
              </w:rPr>
            </w:pPr>
            <w:r>
              <w:rPr>
                <w:rFonts w:hint="eastAsia"/>
                <w:u w:val="none"/>
              </w:rPr>
              <w:t>44.5</w:t>
            </w:r>
          </w:p>
        </w:tc>
      </w:tr>
      <w:tr w14:paraId="0292C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821" w:type="dxa"/>
            <w:tcMar>
              <w:top w:w="16" w:type="dxa"/>
              <w:left w:w="16" w:type="dxa"/>
              <w:right w:w="16" w:type="dxa"/>
            </w:tcMar>
            <w:vAlign w:val="center"/>
          </w:tcPr>
          <w:p w14:paraId="4B4B4055">
            <w:pPr>
              <w:adjustRightInd w:val="0"/>
              <w:snapToGrid w:val="0"/>
              <w:spacing w:line="240" w:lineRule="auto"/>
              <w:jc w:val="center"/>
              <w:rPr>
                <w:u w:val="none"/>
              </w:rPr>
            </w:pPr>
            <w:r>
              <w:rPr>
                <w:u w:val="none"/>
              </w:rPr>
              <w:t>环保投资占比（%）</w:t>
            </w:r>
          </w:p>
        </w:tc>
        <w:tc>
          <w:tcPr>
            <w:tcW w:w="1620" w:type="dxa"/>
            <w:vAlign w:val="center"/>
          </w:tcPr>
          <w:p w14:paraId="00399055">
            <w:pPr>
              <w:adjustRightInd w:val="0"/>
              <w:snapToGrid w:val="0"/>
              <w:spacing w:line="240" w:lineRule="auto"/>
              <w:jc w:val="center"/>
              <w:rPr>
                <w:rFonts w:hint="default" w:eastAsia="宋体"/>
                <w:u w:val="none"/>
                <w:lang w:val="en-US" w:eastAsia="zh-CN"/>
              </w:rPr>
            </w:pPr>
            <w:r>
              <w:rPr>
                <w:rFonts w:hint="eastAsia"/>
                <w:u w:val="none"/>
                <w:lang w:val="en-US" w:eastAsia="zh-CN"/>
              </w:rPr>
              <w:t>1.9％</w:t>
            </w:r>
          </w:p>
        </w:tc>
        <w:tc>
          <w:tcPr>
            <w:tcW w:w="2061" w:type="dxa"/>
            <w:tcMar>
              <w:top w:w="16" w:type="dxa"/>
              <w:left w:w="16" w:type="dxa"/>
              <w:right w:w="16" w:type="dxa"/>
            </w:tcMar>
            <w:vAlign w:val="center"/>
          </w:tcPr>
          <w:p w14:paraId="729BDBD1">
            <w:pPr>
              <w:adjustRightInd w:val="0"/>
              <w:snapToGrid w:val="0"/>
              <w:spacing w:line="240" w:lineRule="auto"/>
              <w:jc w:val="center"/>
              <w:rPr>
                <w:u w:val="none"/>
              </w:rPr>
            </w:pPr>
            <w:r>
              <w:rPr>
                <w:u w:val="none"/>
              </w:rPr>
              <w:t>施工工期</w:t>
            </w:r>
          </w:p>
        </w:tc>
        <w:tc>
          <w:tcPr>
            <w:tcW w:w="3537" w:type="dxa"/>
            <w:gridSpan w:val="2"/>
            <w:vAlign w:val="center"/>
          </w:tcPr>
          <w:p w14:paraId="4498369B">
            <w:pPr>
              <w:adjustRightInd w:val="0"/>
              <w:snapToGrid w:val="0"/>
              <w:spacing w:line="240" w:lineRule="auto"/>
              <w:jc w:val="center"/>
              <w:rPr>
                <w:rFonts w:hint="default" w:eastAsia="宋体"/>
                <w:u w:val="none"/>
                <w:lang w:val="en-US" w:eastAsia="zh-CN"/>
              </w:rPr>
            </w:pPr>
            <w:r>
              <w:rPr>
                <w:rFonts w:hint="eastAsia"/>
                <w:highlight w:val="none"/>
                <w:u w:val="none"/>
                <w:lang w:val="en-US" w:eastAsia="zh-CN"/>
              </w:rPr>
              <w:t>2025年7月-2026年7月</w:t>
            </w:r>
          </w:p>
        </w:tc>
      </w:tr>
      <w:tr w14:paraId="35343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821" w:type="dxa"/>
            <w:tcMar>
              <w:top w:w="16" w:type="dxa"/>
              <w:left w:w="16" w:type="dxa"/>
              <w:right w:w="16" w:type="dxa"/>
            </w:tcMar>
            <w:vAlign w:val="center"/>
          </w:tcPr>
          <w:p w14:paraId="079CC9A3">
            <w:pPr>
              <w:adjustRightInd w:val="0"/>
              <w:snapToGrid w:val="0"/>
              <w:jc w:val="center"/>
              <w:rPr>
                <w:u w:val="none"/>
              </w:rPr>
            </w:pPr>
            <w:r>
              <w:rPr>
                <w:u w:val="none"/>
              </w:rPr>
              <w:t>是否开工建设</w:t>
            </w:r>
          </w:p>
        </w:tc>
        <w:tc>
          <w:tcPr>
            <w:tcW w:w="7218" w:type="dxa"/>
            <w:gridSpan w:val="4"/>
            <w:vAlign w:val="center"/>
          </w:tcPr>
          <w:p w14:paraId="27DBA852">
            <w:pPr>
              <w:adjustRightInd w:val="0"/>
              <w:snapToGrid w:val="0"/>
              <w:ind w:firstLine="105"/>
              <w:jc w:val="left"/>
              <w:rPr>
                <w:u w:val="none"/>
              </w:rPr>
            </w:pPr>
            <w:r>
              <w:rPr>
                <w:rFonts w:hint="eastAsia"/>
                <w:u w:val="none"/>
                <w:lang w:eastAsia="zh-CN"/>
              </w:rPr>
              <w:t>☑</w:t>
            </w:r>
            <w:r>
              <w:rPr>
                <w:u w:val="none"/>
              </w:rPr>
              <w:t>否</w:t>
            </w:r>
          </w:p>
          <w:p w14:paraId="284CD43E">
            <w:pPr>
              <w:adjustRightInd w:val="0"/>
              <w:snapToGrid w:val="0"/>
              <w:ind w:firstLine="92"/>
              <w:jc w:val="left"/>
              <w:rPr>
                <w:rFonts w:hint="eastAsia" w:eastAsia="宋体"/>
                <w:u w:val="none"/>
                <w:lang w:eastAsia="zh-CN"/>
              </w:rPr>
            </w:pPr>
            <w:r>
              <w:rPr>
                <w:rFonts w:hint="eastAsia"/>
                <w:u w:val="none"/>
                <w:lang w:eastAsia="zh-CN"/>
              </w:rPr>
              <w:t>□</w:t>
            </w:r>
            <w:r>
              <w:rPr>
                <w:u w:val="none"/>
              </w:rPr>
              <w:t>是：</w:t>
            </w:r>
          </w:p>
        </w:tc>
      </w:tr>
      <w:tr w14:paraId="4CEC1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821" w:type="dxa"/>
            <w:tcMar>
              <w:top w:w="16" w:type="dxa"/>
              <w:left w:w="16" w:type="dxa"/>
              <w:right w:w="16" w:type="dxa"/>
            </w:tcMar>
            <w:vAlign w:val="center"/>
          </w:tcPr>
          <w:p w14:paraId="0DE958F4">
            <w:pPr>
              <w:autoSpaceDE w:val="0"/>
              <w:autoSpaceDN w:val="0"/>
              <w:adjustRightInd w:val="0"/>
              <w:snapToGrid w:val="0"/>
              <w:jc w:val="center"/>
              <w:rPr>
                <w:kern w:val="0"/>
                <w:u w:val="none"/>
              </w:rPr>
            </w:pPr>
            <w:r>
              <w:rPr>
                <w:kern w:val="0"/>
                <w:u w:val="none"/>
              </w:rPr>
              <w:t>专项评价设置情况</w:t>
            </w:r>
          </w:p>
        </w:tc>
        <w:tc>
          <w:tcPr>
            <w:tcW w:w="7218" w:type="dxa"/>
            <w:gridSpan w:val="4"/>
            <w:tcMar>
              <w:top w:w="16" w:type="dxa"/>
              <w:left w:w="16" w:type="dxa"/>
              <w:right w:w="16" w:type="dxa"/>
            </w:tcMar>
            <w:vAlign w:val="center"/>
          </w:tcPr>
          <w:p w14:paraId="46492209">
            <w:pPr>
              <w:autoSpaceDE w:val="0"/>
              <w:autoSpaceDN w:val="0"/>
              <w:adjustRightInd w:val="0"/>
              <w:snapToGrid w:val="0"/>
              <w:jc w:val="both"/>
              <w:rPr>
                <w:color w:val="auto"/>
                <w:kern w:val="0"/>
                <w:u w:val="none"/>
              </w:rPr>
            </w:pPr>
            <w:r>
              <w:rPr>
                <w:color w:val="auto"/>
                <w:u w:val="none"/>
              </w:rPr>
              <w:t>根据《环境影响评价技术导则</w:t>
            </w:r>
            <w:r>
              <w:rPr>
                <w:rFonts w:hint="eastAsia"/>
                <w:color w:val="auto"/>
                <w:u w:val="none"/>
                <w:lang w:val="en-US" w:eastAsia="zh-CN"/>
              </w:rPr>
              <w:t xml:space="preserve">  </w:t>
            </w:r>
            <w:r>
              <w:rPr>
                <w:color w:val="auto"/>
                <w:u w:val="none"/>
              </w:rPr>
              <w:t>输变电》（HJ24-2020）</w:t>
            </w:r>
            <w:r>
              <w:rPr>
                <w:color w:val="auto"/>
                <w:kern w:val="0"/>
                <w:sz w:val="24"/>
              </w:rPr>
              <w:t>附录B</w:t>
            </w:r>
            <w:r>
              <w:rPr>
                <w:rFonts w:hint="eastAsia"/>
                <w:color w:val="auto"/>
                <w:kern w:val="0"/>
                <w:sz w:val="24"/>
                <w:lang w:val="en-US" w:eastAsia="zh-CN"/>
              </w:rPr>
              <w:t>要求：</w:t>
            </w:r>
            <w:r>
              <w:rPr>
                <w:color w:val="auto"/>
                <w:kern w:val="0"/>
                <w:sz w:val="24"/>
              </w:rPr>
              <w:t>输变电建设项目环境影响</w:t>
            </w:r>
            <w:r>
              <w:rPr>
                <w:color w:val="auto"/>
                <w:u w:val="none"/>
              </w:rPr>
              <w:t>报告表应设电磁环境影响评价专题评价</w:t>
            </w:r>
            <w:r>
              <w:rPr>
                <w:rFonts w:hint="eastAsia"/>
                <w:color w:val="auto"/>
                <w:u w:val="none"/>
                <w:lang w:eastAsia="zh-CN"/>
              </w:rPr>
              <w:t>，</w:t>
            </w:r>
            <w:r>
              <w:rPr>
                <w:color w:val="auto"/>
                <w:kern w:val="0"/>
                <w:sz w:val="24"/>
              </w:rPr>
              <w:t>因此</w:t>
            </w:r>
            <w:r>
              <w:rPr>
                <w:rFonts w:hint="eastAsia"/>
                <w:color w:val="auto"/>
                <w:kern w:val="0"/>
                <w:sz w:val="24"/>
              </w:rPr>
              <w:t>本次评价</w:t>
            </w:r>
            <w:r>
              <w:rPr>
                <w:color w:val="auto"/>
                <w:kern w:val="0"/>
                <w:sz w:val="24"/>
              </w:rPr>
              <w:t>设置电磁环境影响专题评价。</w:t>
            </w:r>
          </w:p>
        </w:tc>
      </w:tr>
      <w:tr w14:paraId="1E428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821" w:type="dxa"/>
            <w:tcMar>
              <w:top w:w="16" w:type="dxa"/>
              <w:left w:w="16" w:type="dxa"/>
              <w:right w:w="16" w:type="dxa"/>
            </w:tcMar>
            <w:vAlign w:val="center"/>
          </w:tcPr>
          <w:p w14:paraId="38C8DDBA">
            <w:pPr>
              <w:autoSpaceDE w:val="0"/>
              <w:autoSpaceDN w:val="0"/>
              <w:adjustRightInd w:val="0"/>
              <w:snapToGrid w:val="0"/>
              <w:jc w:val="center"/>
              <w:rPr>
                <w:u w:val="none"/>
              </w:rPr>
            </w:pPr>
            <w:r>
              <w:rPr>
                <w:u w:val="none"/>
              </w:rPr>
              <w:t>规划情况</w:t>
            </w:r>
          </w:p>
        </w:tc>
        <w:tc>
          <w:tcPr>
            <w:tcW w:w="7218" w:type="dxa"/>
            <w:gridSpan w:val="4"/>
            <w:tcMar>
              <w:top w:w="16" w:type="dxa"/>
              <w:left w:w="16" w:type="dxa"/>
              <w:right w:w="16" w:type="dxa"/>
            </w:tcMar>
            <w:vAlign w:val="center"/>
          </w:tcPr>
          <w:p w14:paraId="48D41AD5">
            <w:pPr>
              <w:jc w:val="both"/>
              <w:rPr>
                <w:rFonts w:hint="eastAsia"/>
                <w:color w:val="auto"/>
              </w:rPr>
            </w:pPr>
            <w:r>
              <w:rPr>
                <w:color w:val="auto"/>
                <w:kern w:val="0"/>
                <w:sz w:val="24"/>
              </w:rPr>
              <w:t>规划名称</w:t>
            </w:r>
            <w:r>
              <w:rPr>
                <w:rFonts w:hint="eastAsia"/>
                <w:color w:val="auto"/>
                <w:kern w:val="0"/>
                <w:sz w:val="24"/>
              </w:rPr>
              <w:t>：</w:t>
            </w:r>
            <w:r>
              <w:rPr>
                <w:rFonts w:hint="eastAsia"/>
                <w:color w:val="auto"/>
              </w:rPr>
              <w:t>《阳和工业新区产业发展规划（2021-2025年）》</w:t>
            </w:r>
          </w:p>
          <w:p w14:paraId="688DA18D">
            <w:pPr>
              <w:jc w:val="both"/>
              <w:rPr>
                <w:rFonts w:hint="eastAsia"/>
                <w:color w:val="auto"/>
              </w:rPr>
            </w:pPr>
            <w:r>
              <w:rPr>
                <w:rFonts w:hint="eastAsia"/>
                <w:color w:val="auto"/>
                <w:kern w:val="0"/>
                <w:sz w:val="24"/>
                <w:lang w:val="en-US" w:eastAsia="zh-CN"/>
              </w:rPr>
              <w:t>发布</w:t>
            </w:r>
            <w:r>
              <w:rPr>
                <w:color w:val="auto"/>
                <w:kern w:val="0"/>
                <w:sz w:val="24"/>
              </w:rPr>
              <w:t>机关</w:t>
            </w:r>
            <w:r>
              <w:rPr>
                <w:rFonts w:hint="eastAsia"/>
                <w:color w:val="auto"/>
                <w:kern w:val="0"/>
                <w:sz w:val="24"/>
              </w:rPr>
              <w:t>：柳州市阳和工业新区管理委员会</w:t>
            </w:r>
          </w:p>
          <w:p w14:paraId="74674118">
            <w:pPr>
              <w:jc w:val="both"/>
              <w:rPr>
                <w:color w:val="auto"/>
                <w:u w:val="none"/>
              </w:rPr>
            </w:pPr>
            <w:r>
              <w:rPr>
                <w:color w:val="auto"/>
                <w:kern w:val="0"/>
                <w:sz w:val="24"/>
              </w:rPr>
              <w:t>审批文件名称及文号</w:t>
            </w:r>
            <w:r>
              <w:rPr>
                <w:rFonts w:hint="eastAsia"/>
                <w:color w:val="auto"/>
                <w:kern w:val="0"/>
                <w:sz w:val="24"/>
              </w:rPr>
              <w:t>：</w:t>
            </w:r>
            <w:r>
              <w:rPr>
                <w:rFonts w:hint="eastAsia"/>
                <w:color w:val="auto"/>
                <w:kern w:val="0"/>
                <w:sz w:val="24"/>
                <w:lang w:eastAsia="zh-CN"/>
              </w:rPr>
              <w:t>《</w:t>
            </w:r>
            <w:r>
              <w:rPr>
                <w:rFonts w:hint="eastAsia"/>
                <w:color w:val="auto"/>
                <w:kern w:val="0"/>
                <w:sz w:val="24"/>
              </w:rPr>
              <w:t>关于印发</w:t>
            </w:r>
            <w:r>
              <w:rPr>
                <w:rFonts w:hint="eastAsia" w:ascii="宋体" w:hAnsi="宋体" w:eastAsia="宋体" w:cs="宋体"/>
                <w:color w:val="auto"/>
                <w:kern w:val="0"/>
                <w:sz w:val="24"/>
              </w:rPr>
              <w:t>&lt;</w:t>
            </w:r>
            <w:r>
              <w:rPr>
                <w:rFonts w:hint="eastAsia"/>
                <w:color w:val="auto"/>
                <w:kern w:val="0"/>
                <w:sz w:val="24"/>
              </w:rPr>
              <w:t>阳和工业新区产业发展规划（2021-2025年）</w:t>
            </w:r>
            <w:r>
              <w:rPr>
                <w:rFonts w:hint="eastAsia" w:ascii="宋体" w:hAnsi="宋体" w:eastAsia="宋体" w:cs="宋体"/>
                <w:color w:val="auto"/>
                <w:kern w:val="0"/>
                <w:sz w:val="24"/>
              </w:rPr>
              <w:t>&gt;</w:t>
            </w:r>
            <w:r>
              <w:rPr>
                <w:rFonts w:hint="eastAsia"/>
                <w:color w:val="auto"/>
                <w:kern w:val="0"/>
                <w:sz w:val="24"/>
              </w:rPr>
              <w:t>的通知</w:t>
            </w:r>
            <w:r>
              <w:rPr>
                <w:rFonts w:hint="eastAsia"/>
                <w:color w:val="auto"/>
                <w:kern w:val="0"/>
                <w:sz w:val="24"/>
                <w:lang w:eastAsia="zh-CN"/>
              </w:rPr>
              <w:t>》（</w:t>
            </w:r>
            <w:r>
              <w:rPr>
                <w:rFonts w:hint="eastAsia"/>
                <w:color w:val="auto"/>
                <w:kern w:val="0"/>
                <w:sz w:val="24"/>
              </w:rPr>
              <w:t>阳管发〔2022〕105号</w:t>
            </w:r>
            <w:r>
              <w:rPr>
                <w:rFonts w:hint="eastAsia"/>
                <w:color w:val="auto"/>
                <w:kern w:val="0"/>
                <w:sz w:val="24"/>
                <w:lang w:eastAsia="zh-CN"/>
              </w:rPr>
              <w:t>）</w:t>
            </w:r>
            <w:r>
              <w:rPr>
                <w:rFonts w:hint="eastAsia"/>
                <w:color w:val="auto"/>
                <w:kern w:val="0"/>
                <w:sz w:val="24"/>
              </w:rPr>
              <w:t xml:space="preserve"> </w:t>
            </w:r>
          </w:p>
        </w:tc>
      </w:tr>
      <w:tr w14:paraId="589BF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1821" w:type="dxa"/>
            <w:tcMar>
              <w:top w:w="16" w:type="dxa"/>
              <w:left w:w="16" w:type="dxa"/>
              <w:right w:w="16" w:type="dxa"/>
            </w:tcMar>
            <w:vAlign w:val="center"/>
          </w:tcPr>
          <w:p w14:paraId="4E2C5D63">
            <w:pPr>
              <w:autoSpaceDE w:val="0"/>
              <w:autoSpaceDN w:val="0"/>
              <w:adjustRightInd w:val="0"/>
              <w:snapToGrid w:val="0"/>
              <w:jc w:val="center"/>
              <w:rPr>
                <w:u w:val="none"/>
              </w:rPr>
            </w:pPr>
            <w:r>
              <w:rPr>
                <w:u w:val="none"/>
              </w:rPr>
              <w:t>规划环境影响</w:t>
            </w:r>
          </w:p>
          <w:p w14:paraId="4A9827DE">
            <w:pPr>
              <w:autoSpaceDE w:val="0"/>
              <w:autoSpaceDN w:val="0"/>
              <w:adjustRightInd w:val="0"/>
              <w:snapToGrid w:val="0"/>
              <w:jc w:val="center"/>
              <w:rPr>
                <w:kern w:val="0"/>
                <w:u w:val="none"/>
              </w:rPr>
            </w:pPr>
            <w:r>
              <w:rPr>
                <w:u w:val="none"/>
              </w:rPr>
              <w:t>评价情况</w:t>
            </w:r>
          </w:p>
        </w:tc>
        <w:tc>
          <w:tcPr>
            <w:tcW w:w="7218" w:type="dxa"/>
            <w:gridSpan w:val="4"/>
            <w:tcMar>
              <w:top w:w="16" w:type="dxa"/>
              <w:left w:w="16" w:type="dxa"/>
              <w:right w:w="16" w:type="dxa"/>
            </w:tcMar>
            <w:vAlign w:val="center"/>
          </w:tcPr>
          <w:p w14:paraId="470A1F49">
            <w:pPr>
              <w:adjustRightInd w:val="0"/>
              <w:snapToGrid w:val="0"/>
              <w:spacing w:after="0" w:line="360" w:lineRule="auto"/>
              <w:rPr>
                <w:rFonts w:hint="eastAsia"/>
                <w:color w:val="auto"/>
                <w:kern w:val="0"/>
                <w:u w:val="none"/>
                <w:lang w:eastAsia="zh-CN"/>
              </w:rPr>
            </w:pPr>
            <w:r>
              <w:rPr>
                <w:color w:val="auto"/>
                <w:kern w:val="0"/>
                <w:sz w:val="24"/>
              </w:rPr>
              <w:t>规划环境影响评价文件名称：</w:t>
            </w:r>
            <w:r>
              <w:rPr>
                <w:rFonts w:hint="eastAsia"/>
                <w:color w:val="auto"/>
                <w:kern w:val="0"/>
                <w:u w:val="none"/>
              </w:rPr>
              <w:t>《阳和工业新区产业发展规划(2021-2025年)环境影响报告书</w:t>
            </w:r>
            <w:r>
              <w:rPr>
                <w:rFonts w:hint="eastAsia"/>
                <w:color w:val="auto"/>
                <w:kern w:val="0"/>
                <w:u w:val="none"/>
                <w:lang w:eastAsia="zh-CN"/>
              </w:rPr>
              <w:t>》</w:t>
            </w:r>
          </w:p>
          <w:p w14:paraId="14CA2BB1">
            <w:pPr>
              <w:adjustRightInd w:val="0"/>
              <w:snapToGrid w:val="0"/>
              <w:spacing w:after="0" w:line="360" w:lineRule="auto"/>
              <w:rPr>
                <w:color w:val="auto"/>
                <w:kern w:val="0"/>
                <w:sz w:val="24"/>
              </w:rPr>
            </w:pPr>
            <w:r>
              <w:rPr>
                <w:color w:val="auto"/>
                <w:kern w:val="0"/>
                <w:sz w:val="24"/>
              </w:rPr>
              <w:t>审查机关：</w:t>
            </w:r>
            <w:r>
              <w:rPr>
                <w:rFonts w:hint="eastAsia"/>
                <w:color w:val="auto"/>
                <w:kern w:val="0"/>
                <w:u w:val="none"/>
                <w:lang w:val="en-US" w:eastAsia="zh-CN"/>
              </w:rPr>
              <w:t>柳州市生态环境局</w:t>
            </w:r>
          </w:p>
          <w:p w14:paraId="498981C7">
            <w:pPr>
              <w:adjustRightInd w:val="0"/>
              <w:snapToGrid w:val="0"/>
              <w:jc w:val="both"/>
              <w:rPr>
                <w:rFonts w:hint="default"/>
                <w:color w:val="auto"/>
                <w:kern w:val="0"/>
                <w:u w:val="none"/>
                <w:lang w:val="en-US"/>
              </w:rPr>
            </w:pPr>
            <w:r>
              <w:rPr>
                <w:color w:val="auto"/>
                <w:kern w:val="0"/>
                <w:sz w:val="24"/>
              </w:rPr>
              <w:t>审查文件名称及文号：</w:t>
            </w:r>
            <w:r>
              <w:rPr>
                <w:rFonts w:hint="eastAsia"/>
                <w:color w:val="auto"/>
                <w:kern w:val="0"/>
                <w:sz w:val="24"/>
                <w:lang w:eastAsia="zh-CN"/>
              </w:rPr>
              <w:t>《</w:t>
            </w:r>
            <w:r>
              <w:rPr>
                <w:rFonts w:hint="eastAsia"/>
                <w:color w:val="auto"/>
                <w:kern w:val="0"/>
                <w:u w:val="none"/>
                <w:lang w:val="en-US" w:eastAsia="zh-CN"/>
              </w:rPr>
              <w:t>柳州市生态环境局关于印发</w:t>
            </w:r>
            <w:r>
              <w:rPr>
                <w:rFonts w:hint="eastAsia" w:ascii="宋体" w:hAnsi="宋体" w:eastAsia="宋体" w:cs="宋体"/>
                <w:color w:val="auto"/>
                <w:kern w:val="0"/>
                <w:u w:val="none"/>
                <w:lang w:val="en-US" w:eastAsia="zh-CN"/>
              </w:rPr>
              <w:t>&lt;</w:t>
            </w:r>
            <w:r>
              <w:rPr>
                <w:rFonts w:hint="eastAsia"/>
                <w:color w:val="auto"/>
                <w:kern w:val="0"/>
                <w:u w:val="none"/>
              </w:rPr>
              <w:t>阳和工业新区产业发展规划(2021-2025年)环境影响报告书</w:t>
            </w:r>
            <w:r>
              <w:rPr>
                <w:rFonts w:hint="eastAsia" w:ascii="宋体" w:hAnsi="宋体" w:eastAsia="宋体" w:cs="宋体"/>
                <w:color w:val="auto"/>
                <w:kern w:val="0"/>
                <w:u w:val="none"/>
              </w:rPr>
              <w:t>&gt;</w:t>
            </w:r>
            <w:r>
              <w:rPr>
                <w:rFonts w:hint="eastAsia"/>
                <w:color w:val="auto"/>
                <w:kern w:val="0"/>
                <w:u w:val="none"/>
                <w:lang w:eastAsia="zh-CN"/>
              </w:rPr>
              <w:t>审查意见的函》（柳环函〔2023</w:t>
            </w:r>
            <w:r>
              <w:rPr>
                <w:rFonts w:hint="eastAsia"/>
                <w:color w:val="auto"/>
              </w:rPr>
              <w:t>〕</w:t>
            </w:r>
            <w:r>
              <w:rPr>
                <w:rFonts w:hint="eastAsia"/>
                <w:color w:val="auto"/>
                <w:kern w:val="0"/>
                <w:u w:val="none"/>
                <w:lang w:eastAsia="zh-CN"/>
              </w:rPr>
              <w:t>512号）</w:t>
            </w:r>
          </w:p>
        </w:tc>
      </w:tr>
      <w:tr w14:paraId="26037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1821" w:type="dxa"/>
            <w:tcMar>
              <w:top w:w="16" w:type="dxa"/>
              <w:left w:w="16" w:type="dxa"/>
              <w:right w:w="16" w:type="dxa"/>
            </w:tcMar>
            <w:vAlign w:val="center"/>
          </w:tcPr>
          <w:p w14:paraId="5DA172DE">
            <w:pPr>
              <w:autoSpaceDE w:val="0"/>
              <w:autoSpaceDN w:val="0"/>
              <w:adjustRightInd w:val="0"/>
              <w:snapToGrid w:val="0"/>
              <w:jc w:val="center"/>
              <w:rPr>
                <w:kern w:val="0"/>
                <w:u w:val="none"/>
              </w:rPr>
            </w:pPr>
            <w:r>
              <w:rPr>
                <w:kern w:val="0"/>
                <w:u w:val="none"/>
              </w:rPr>
              <w:t>规划及</w:t>
            </w:r>
            <w:r>
              <w:rPr>
                <w:u w:val="none"/>
              </w:rPr>
              <w:t>规划环境影响评价</w:t>
            </w:r>
            <w:r>
              <w:rPr>
                <w:kern w:val="0"/>
                <w:u w:val="none"/>
              </w:rPr>
              <w:t>符合性分析</w:t>
            </w:r>
          </w:p>
        </w:tc>
        <w:tc>
          <w:tcPr>
            <w:tcW w:w="7218" w:type="dxa"/>
            <w:gridSpan w:val="4"/>
            <w:tcMar>
              <w:top w:w="16" w:type="dxa"/>
              <w:left w:w="16" w:type="dxa"/>
              <w:right w:w="16" w:type="dxa"/>
            </w:tcMar>
            <w:vAlign w:val="center"/>
          </w:tcPr>
          <w:p w14:paraId="7BFDEF53">
            <w:pPr>
              <w:numPr>
                <w:ilvl w:val="0"/>
                <w:numId w:val="1"/>
              </w:numPr>
              <w:autoSpaceDE w:val="0"/>
              <w:autoSpaceDN w:val="0"/>
              <w:adjustRightInd w:val="0"/>
              <w:snapToGrid w:val="0"/>
              <w:spacing w:line="360" w:lineRule="auto"/>
              <w:ind w:firstLine="482" w:firstLineChars="200"/>
              <w:rPr>
                <w:rFonts w:hint="eastAsia"/>
                <w:b/>
                <w:bCs/>
                <w:color w:val="auto"/>
                <w:sz w:val="24"/>
                <w:u w:val="none"/>
                <w:lang w:val="en-US" w:eastAsia="zh-CN"/>
              </w:rPr>
            </w:pPr>
            <w:r>
              <w:rPr>
                <w:rFonts w:hint="eastAsia"/>
                <w:b/>
                <w:bCs/>
                <w:color w:val="auto"/>
                <w:sz w:val="24"/>
                <w:u w:val="none"/>
                <w:lang w:val="en-US" w:eastAsia="zh-CN"/>
              </w:rPr>
              <w:t>项目与规划及规划环评符合性分析</w:t>
            </w:r>
          </w:p>
          <w:p w14:paraId="35727E86">
            <w:pPr>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w:t>
            </w:r>
            <w:r>
              <w:rPr>
                <w:rFonts w:hint="eastAsia"/>
                <w:color w:val="auto"/>
              </w:rPr>
              <w:t>《阳和工业新区产业发展规划（2021-2025年）》</w:t>
            </w:r>
            <w:r>
              <w:rPr>
                <w:rFonts w:hint="eastAsia" w:ascii="Times New Roman" w:hAnsi="Times New Roman" w:eastAsia="宋体" w:cs="Times New Roman"/>
                <w:color w:val="auto"/>
                <w:lang w:val="en-US" w:eastAsia="zh-CN"/>
              </w:rPr>
              <w:t>阳和工业新区位于柳州市中心城区东部、泉南高速公路出入口处。规划范围东至磨盘山，南面和西面至柳江，北至古亭山，规划总用地面积控制在“三区三线”要求的范围内，面积约为19.61km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，包含古亭片区、沿江片区、东部片区三个片区。重点发展汽车及汽车零部件、高端机械装备制造高端新材料三大主导产业。</w:t>
            </w:r>
          </w:p>
          <w:p w14:paraId="35BC56E1">
            <w:pPr>
              <w:ind w:firstLine="480" w:firstLineChars="200"/>
              <w:jc w:val="both"/>
              <w:rPr>
                <w:rFonts w:hint="eastAsia"/>
                <w:color w:val="auto"/>
                <w:kern w:val="0"/>
                <w:u w:val="none"/>
                <w:lang w:val="en-US" w:eastAsia="zh-CN"/>
              </w:rPr>
            </w:pPr>
            <w:r>
              <w:rPr>
                <w:rFonts w:hint="eastAsia"/>
                <w:color w:val="auto"/>
                <w:lang w:eastAsia="zh-CN"/>
              </w:rPr>
              <w:t>220千伏果山变电站供电范围主要为市区东南部阳和工业新区。220千伏果山扩建主变工程的建设对满足城区阳和工业新区的负荷快速增长需要、缓解220千伏果山站单台主变供电压力，提高果山变近区的供电能力、供电可靠性与和供电质量都有着十分重要的作用。220千伏果山变电站是柳州市区的中间变电站。</w:t>
            </w:r>
            <w:r>
              <w:rPr>
                <w:rFonts w:hint="eastAsia"/>
                <w:color w:val="auto"/>
                <w:kern w:val="0"/>
                <w:u w:val="none"/>
                <w:lang w:val="en-US" w:eastAsia="zh-CN"/>
              </w:rPr>
              <w:t>为满足</w:t>
            </w:r>
            <w:r>
              <w:rPr>
                <w:rFonts w:hint="eastAsia"/>
                <w:color w:val="auto"/>
              </w:rPr>
              <w:t>阳和工业新区</w:t>
            </w:r>
            <w:r>
              <w:rPr>
                <w:rFonts w:hint="eastAsia"/>
                <w:color w:val="auto"/>
                <w:kern w:val="0"/>
                <w:u w:val="none"/>
                <w:lang w:val="en-US" w:eastAsia="zh-CN"/>
              </w:rPr>
              <w:t>负荷发展需要，缓解自身及周边变电站供电压力，同时</w:t>
            </w:r>
            <w:r>
              <w:rPr>
                <w:rFonts w:hint="eastAsia"/>
                <w:color w:val="auto"/>
                <w:lang w:eastAsia="zh-CN"/>
              </w:rPr>
              <w:t>提高果山站周边电网供电能力与供电可靠性，广西电网有限责任公司柳州供电局拟建设220千伏果山变电站扩建工程（以下简称“本项目”）。</w:t>
            </w:r>
          </w:p>
          <w:p w14:paraId="3C226B84">
            <w:pPr>
              <w:ind w:firstLine="480" w:firstLineChars="200"/>
              <w:jc w:val="both"/>
              <w:rPr>
                <w:rFonts w:hint="default"/>
                <w:color w:val="auto"/>
                <w:kern w:val="0"/>
                <w:u w:val="none"/>
                <w:lang w:val="en-US" w:eastAsia="zh-CN"/>
              </w:rPr>
            </w:pPr>
            <w:r>
              <w:rPr>
                <w:rFonts w:hint="default"/>
                <w:color w:val="auto"/>
                <w:kern w:val="0"/>
                <w:u w:val="none"/>
                <w:lang w:val="en-US" w:eastAsia="zh-CN"/>
              </w:rPr>
              <w:t>本项目属为</w:t>
            </w:r>
            <w:r>
              <w:rPr>
                <w:rFonts w:hint="eastAsia"/>
                <w:color w:val="auto"/>
              </w:rPr>
              <w:t>阳和工业新区</w:t>
            </w:r>
            <w:r>
              <w:rPr>
                <w:rFonts w:hint="default"/>
                <w:color w:val="auto"/>
                <w:kern w:val="0"/>
                <w:u w:val="none"/>
                <w:lang w:val="en-US" w:eastAsia="zh-CN"/>
              </w:rPr>
              <w:t>提供电力的基础设施配套工程，属生产性服务业，非规划主导产业，但符合</w:t>
            </w:r>
            <w:r>
              <w:rPr>
                <w:rFonts w:hint="eastAsia"/>
                <w:color w:val="auto"/>
              </w:rPr>
              <w:t>阳和工业新区</w:t>
            </w:r>
            <w:r>
              <w:rPr>
                <w:rFonts w:hint="default"/>
                <w:color w:val="auto"/>
                <w:kern w:val="0"/>
                <w:u w:val="none"/>
                <w:lang w:val="en-US" w:eastAsia="zh-CN"/>
              </w:rPr>
              <w:t>产业导向；项目对环境的影响主要为电磁、噪声，达到相应的排放标准，无废水、废气产生与排放，符合国家相关产业政策、行业规范；项目已取得</w:t>
            </w:r>
            <w:r>
              <w:rPr>
                <w:rFonts w:hint="eastAsia"/>
                <w:color w:val="auto"/>
                <w:u w:val="none"/>
              </w:rPr>
              <w:t>柳州市北部生态新区行政审批局</w:t>
            </w:r>
            <w:r>
              <w:rPr>
                <w:rFonts w:hint="default"/>
                <w:color w:val="auto"/>
                <w:kern w:val="0"/>
                <w:u w:val="none"/>
                <w:lang w:val="en-US" w:eastAsia="zh-CN"/>
              </w:rPr>
              <w:t>核准批复，项目的建设具有必要性。</w:t>
            </w:r>
          </w:p>
          <w:p w14:paraId="205C9A0C">
            <w:pPr>
              <w:ind w:firstLine="480" w:firstLineChars="200"/>
              <w:jc w:val="both"/>
              <w:rPr>
                <w:rFonts w:hint="default"/>
                <w:color w:val="auto"/>
                <w:kern w:val="0"/>
                <w:u w:val="none"/>
                <w:lang w:val="en-US" w:eastAsia="zh-CN"/>
              </w:rPr>
            </w:pPr>
            <w:r>
              <w:rPr>
                <w:rFonts w:hint="default"/>
                <w:color w:val="auto"/>
                <w:kern w:val="0"/>
                <w:u w:val="none"/>
                <w:lang w:val="en-US" w:eastAsia="zh-CN"/>
              </w:rPr>
              <w:t>因此，本项目建设符合规划及规划环境影响评价相关要求。</w:t>
            </w:r>
          </w:p>
          <w:p w14:paraId="362A1D9B">
            <w:pPr>
              <w:numPr>
                <w:ilvl w:val="0"/>
                <w:numId w:val="1"/>
              </w:numPr>
              <w:autoSpaceDE w:val="0"/>
              <w:autoSpaceDN w:val="0"/>
              <w:adjustRightInd w:val="0"/>
              <w:snapToGrid w:val="0"/>
              <w:spacing w:line="360" w:lineRule="auto"/>
              <w:ind w:firstLine="482" w:firstLineChars="200"/>
              <w:rPr>
                <w:rFonts w:hint="eastAsia"/>
                <w:b/>
                <w:bCs/>
                <w:color w:val="auto"/>
                <w:sz w:val="24"/>
                <w:u w:val="none"/>
                <w:lang w:val="en-US" w:eastAsia="zh-CN"/>
              </w:rPr>
            </w:pPr>
            <w:r>
              <w:rPr>
                <w:rFonts w:hint="eastAsia"/>
                <w:b/>
                <w:bCs/>
                <w:color w:val="auto"/>
                <w:sz w:val="24"/>
                <w:u w:val="none"/>
                <w:lang w:val="en-US" w:eastAsia="zh-CN"/>
              </w:rPr>
              <w:t>选址合理性性分析</w:t>
            </w:r>
          </w:p>
          <w:p w14:paraId="2EF11A19">
            <w:pPr>
              <w:ind w:firstLine="480" w:firstLineChars="200"/>
              <w:rPr>
                <w:rFonts w:hint="eastAsia"/>
                <w:color w:val="auto"/>
                <w:u w:val="none"/>
              </w:rPr>
            </w:pPr>
            <w:r>
              <w:rPr>
                <w:rFonts w:hint="eastAsia"/>
                <w:color w:val="auto"/>
                <w:u w:val="none"/>
              </w:rPr>
              <w:t>220kV果山变电站位于广西柳州市</w:t>
            </w:r>
            <w:r>
              <w:rPr>
                <w:rFonts w:hint="eastAsia"/>
                <w:color w:val="auto"/>
                <w:u w:val="none"/>
                <w:lang w:eastAsia="zh-CN"/>
              </w:rPr>
              <w:t>阳和工业新区产</w:t>
            </w:r>
            <w:r>
              <w:rPr>
                <w:rFonts w:hint="eastAsia"/>
                <w:color w:val="auto"/>
                <w:u w:val="none"/>
              </w:rPr>
              <w:t>燕山东侧约450m处，</w:t>
            </w:r>
            <w:r>
              <w:rPr>
                <w:rFonts w:hint="eastAsia"/>
                <w:color w:val="auto"/>
                <w:u w:val="none"/>
                <w:lang w:val="en-US" w:eastAsia="zh-CN"/>
              </w:rPr>
              <w:t>用地性质为供电用地。</w:t>
            </w:r>
            <w:r>
              <w:rPr>
                <w:rFonts w:hint="eastAsia"/>
                <w:color w:val="auto"/>
                <w:u w:val="none"/>
              </w:rPr>
              <w:t>主要向</w:t>
            </w:r>
            <w:r>
              <w:rPr>
                <w:rFonts w:hint="eastAsia"/>
                <w:color w:val="auto"/>
                <w:u w:val="none"/>
                <w:lang w:val="en-US" w:eastAsia="zh-CN"/>
              </w:rPr>
              <w:t>阳和工业新区产</w:t>
            </w:r>
            <w:r>
              <w:rPr>
                <w:rFonts w:hint="eastAsia"/>
                <w:color w:val="auto"/>
                <w:u w:val="none"/>
              </w:rPr>
              <w:t>及周边乡镇供电。随着</w:t>
            </w:r>
            <w:r>
              <w:rPr>
                <w:rFonts w:hint="eastAsia"/>
                <w:color w:val="auto"/>
                <w:u w:val="none"/>
                <w:lang w:val="en-US" w:eastAsia="zh-CN"/>
              </w:rPr>
              <w:t>阳和工业新区产</w:t>
            </w:r>
            <w:r>
              <w:rPr>
                <w:rFonts w:hint="eastAsia"/>
                <w:color w:val="auto"/>
                <w:u w:val="none"/>
              </w:rPr>
              <w:t>经济社会的快速发展，电力需求不断增长，现有供电设施已难以满足发展需求。因此，扩建220kV</w:t>
            </w:r>
            <w:r>
              <w:rPr>
                <w:rFonts w:hint="eastAsia"/>
                <w:color w:val="auto"/>
                <w:u w:val="none"/>
                <w:lang w:val="en-US" w:eastAsia="zh-CN"/>
              </w:rPr>
              <w:t>果山</w:t>
            </w:r>
            <w:r>
              <w:rPr>
                <w:rFonts w:hint="eastAsia"/>
                <w:color w:val="auto"/>
                <w:u w:val="none"/>
              </w:rPr>
              <w:t>站对于提升供电能力和可靠性具有重要意义。</w:t>
            </w:r>
          </w:p>
          <w:p w14:paraId="516397EA">
            <w:pPr>
              <w:ind w:firstLine="480" w:firstLineChars="200"/>
              <w:rPr>
                <w:color w:val="auto"/>
                <w:u w:val="none"/>
              </w:rPr>
            </w:pPr>
            <w:r>
              <w:rPr>
                <w:rFonts w:hint="eastAsia"/>
                <w:color w:val="auto"/>
                <w:u w:val="none"/>
              </w:rPr>
              <w:t>本项目为扩建项目，且为站内扩建，无新增占地。站址位于阳和工业新区，已取得不动产权证书，</w:t>
            </w:r>
            <w:r>
              <w:rPr>
                <w:rFonts w:hint="eastAsia"/>
                <w:color w:val="auto"/>
                <w:u w:val="none"/>
                <w:lang w:val="en-US" w:eastAsia="zh-CN"/>
              </w:rPr>
              <w:t>不涉及</w:t>
            </w:r>
            <w:r>
              <w:rPr>
                <w:rFonts w:hint="eastAsia"/>
                <w:color w:val="auto"/>
                <w:u w:val="none"/>
              </w:rPr>
              <w:t>自然保护区、饮用水水源保护区等环境敏感区。</w:t>
            </w:r>
          </w:p>
        </w:tc>
      </w:tr>
      <w:tr w14:paraId="39410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1" w:type="dxa"/>
            <w:tcMar>
              <w:top w:w="16" w:type="dxa"/>
              <w:left w:w="16" w:type="dxa"/>
              <w:right w:w="16" w:type="dxa"/>
            </w:tcMar>
            <w:vAlign w:val="center"/>
          </w:tcPr>
          <w:p w14:paraId="17004962">
            <w:pPr>
              <w:autoSpaceDE w:val="0"/>
              <w:autoSpaceDN w:val="0"/>
              <w:adjustRightInd w:val="0"/>
              <w:snapToGrid w:val="0"/>
              <w:jc w:val="center"/>
              <w:rPr>
                <w:kern w:val="0"/>
                <w:u w:val="none"/>
              </w:rPr>
            </w:pPr>
            <w:bookmarkStart w:id="6" w:name="_Hlk56690880"/>
            <w:r>
              <w:rPr>
                <w:kern w:val="0"/>
                <w:u w:val="none"/>
              </w:rPr>
              <w:t>其他符合性分析</w:t>
            </w:r>
            <w:bookmarkEnd w:id="6"/>
          </w:p>
        </w:tc>
        <w:tc>
          <w:tcPr>
            <w:tcW w:w="7218" w:type="dxa"/>
            <w:gridSpan w:val="4"/>
            <w:tcMar>
              <w:top w:w="16" w:type="dxa"/>
              <w:left w:w="16" w:type="dxa"/>
              <w:right w:w="16" w:type="dxa"/>
            </w:tcMar>
            <w:vAlign w:val="center"/>
          </w:tcPr>
          <w:p w14:paraId="53170C62">
            <w:pPr>
              <w:autoSpaceDE w:val="0"/>
              <w:autoSpaceDN w:val="0"/>
              <w:adjustRightInd w:val="0"/>
              <w:snapToGrid w:val="0"/>
              <w:spacing w:line="360" w:lineRule="auto"/>
              <w:ind w:firstLine="482" w:firstLineChars="200"/>
              <w:rPr>
                <w:b/>
                <w:bCs/>
                <w:sz w:val="24"/>
                <w:u w:val="none"/>
              </w:rPr>
            </w:pPr>
            <w:r>
              <w:rPr>
                <w:rFonts w:hint="eastAsia"/>
                <w:b/>
                <w:bCs/>
                <w:sz w:val="24"/>
                <w:u w:val="none"/>
              </w:rPr>
              <w:t>1、与国家</w:t>
            </w:r>
            <w:r>
              <w:rPr>
                <w:rFonts w:hint="eastAsia"/>
                <w:b/>
                <w:bCs/>
                <w:sz w:val="24"/>
                <w:u w:val="none"/>
                <w:lang w:eastAsia="zh-CN"/>
              </w:rPr>
              <w:t>、</w:t>
            </w:r>
            <w:r>
              <w:rPr>
                <w:rFonts w:hint="eastAsia"/>
                <w:b/>
                <w:bCs/>
                <w:sz w:val="24"/>
                <w:u w:val="none"/>
                <w:lang w:val="en-US" w:eastAsia="zh-CN"/>
              </w:rPr>
              <w:t>地方</w:t>
            </w:r>
            <w:r>
              <w:rPr>
                <w:rFonts w:hint="eastAsia"/>
                <w:b/>
                <w:bCs/>
                <w:sz w:val="24"/>
                <w:u w:val="none"/>
              </w:rPr>
              <w:t>产业政策相符性分析</w:t>
            </w:r>
          </w:p>
          <w:p w14:paraId="650BE2F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rPr>
            </w:pPr>
            <w:r>
              <w:rPr>
                <w:rFonts w:hint="eastAsia"/>
                <w:kern w:val="0"/>
                <w:sz w:val="24"/>
                <w:u w:val="none"/>
              </w:rPr>
              <w:t>本项目为</w:t>
            </w:r>
            <w:r>
              <w:rPr>
                <w:rFonts w:hint="eastAsia"/>
                <w:sz w:val="24"/>
                <w:u w:val="none"/>
              </w:rPr>
              <w:t>220</w:t>
            </w:r>
            <w:r>
              <w:rPr>
                <w:rFonts w:hint="eastAsia"/>
                <w:sz w:val="24"/>
                <w:u w:val="none"/>
                <w:lang w:val="en-US" w:eastAsia="zh-CN"/>
              </w:rPr>
              <w:t>kV果山站扩建</w:t>
            </w:r>
            <w:r>
              <w:rPr>
                <w:rFonts w:hint="eastAsia"/>
                <w:sz w:val="24"/>
                <w:u w:val="none"/>
              </w:rPr>
              <w:t>工程项目，属于《国民经济行业分类》（GB/T4754-2017）</w:t>
            </w:r>
            <w:r>
              <w:rPr>
                <w:rFonts w:hint="eastAsia"/>
                <w:sz w:val="24"/>
                <w:lang w:eastAsia="zh-CN"/>
              </w:rPr>
              <w:t>（</w:t>
            </w:r>
            <w:r>
              <w:rPr>
                <w:rFonts w:hint="eastAsia"/>
                <w:sz w:val="24"/>
                <w:lang w:val="en-US" w:eastAsia="zh-CN"/>
              </w:rPr>
              <w:t>2019修订版及第1号修改单</w:t>
            </w:r>
            <w:r>
              <w:rPr>
                <w:rFonts w:hint="eastAsia"/>
                <w:sz w:val="24"/>
                <w:lang w:eastAsia="zh-CN"/>
              </w:rPr>
              <w:t>）</w:t>
            </w:r>
            <w:r>
              <w:rPr>
                <w:rFonts w:hint="eastAsia"/>
                <w:sz w:val="24"/>
                <w:u w:val="none"/>
              </w:rPr>
              <w:t>中“D4420电力供应”类项目。</w:t>
            </w:r>
            <w:r>
              <w:rPr>
                <w:rFonts w:hint="eastAsia" w:ascii="宋体" w:hAnsi="宋体" w:eastAsia="宋体" w:cs="宋体"/>
                <w:sz w:val="24"/>
                <w:szCs w:val="24"/>
                <w:u w:val="none"/>
              </w:rPr>
              <w:t>本项目为</w:t>
            </w:r>
            <w:r>
              <w:rPr>
                <w:rFonts w:hint="eastAsia" w:ascii="宋体" w:hAnsi="宋体" w:eastAsia="宋体" w:cs="宋体"/>
                <w:sz w:val="24"/>
                <w:szCs w:val="24"/>
                <w:u w:val="none"/>
                <w:lang w:val="en-US" w:eastAsia="zh-CN"/>
              </w:rPr>
              <w:t>22</w:t>
            </w:r>
            <w:r>
              <w:rPr>
                <w:rFonts w:hint="eastAsia" w:ascii="宋体" w:hAnsi="宋体" w:eastAsia="宋体" w:cs="宋体"/>
                <w:sz w:val="24"/>
                <w:szCs w:val="24"/>
                <w:u w:val="none"/>
              </w:rPr>
              <w:t>0kV交流</w:t>
            </w:r>
            <w:r>
              <w:rPr>
                <w:rFonts w:hint="eastAsia" w:ascii="宋体" w:hAnsi="宋体" w:eastAsia="宋体" w:cs="宋体"/>
                <w:sz w:val="24"/>
                <w:szCs w:val="24"/>
                <w:u w:val="none"/>
                <w:lang w:eastAsia="zh-CN"/>
              </w:rPr>
              <w:t>变电</w:t>
            </w:r>
            <w:r>
              <w:rPr>
                <w:rFonts w:hint="eastAsia" w:ascii="宋体" w:hAnsi="宋体" w:eastAsia="宋体" w:cs="宋体"/>
                <w:sz w:val="24"/>
                <w:szCs w:val="24"/>
                <w:u w:val="none"/>
              </w:rPr>
              <w:t>工程，属于</w:t>
            </w:r>
            <w:bookmarkStart w:id="7" w:name="_Hlk179819048"/>
            <w:r>
              <w:rPr>
                <w:rFonts w:hint="eastAsia" w:ascii="宋体" w:hAnsi="宋体" w:eastAsia="宋体" w:cs="宋体"/>
                <w:sz w:val="24"/>
                <w:szCs w:val="24"/>
                <w:u w:val="none"/>
              </w:rPr>
              <w:t>国家发展和改革委员会令第7号发布的《产业结构调整指导目录（2024年本）》中的电力基础设施建设-电网改造与建设，为鼓励类项目，符合国家产业政策。</w:t>
            </w:r>
            <w:bookmarkEnd w:id="7"/>
          </w:p>
          <w:p w14:paraId="54DA21E1">
            <w:pPr>
              <w:autoSpaceDE w:val="0"/>
              <w:autoSpaceDN w:val="0"/>
              <w:adjustRightInd w:val="0"/>
              <w:snapToGrid w:val="0"/>
              <w:spacing w:after="0" w:line="360" w:lineRule="auto"/>
              <w:ind w:firstLine="480" w:firstLineChars="200"/>
              <w:rPr>
                <w:sz w:val="24"/>
              </w:rPr>
            </w:pPr>
            <w:r>
              <w:rPr>
                <w:rFonts w:hint="eastAsia"/>
                <w:sz w:val="24"/>
              </w:rPr>
              <w:t>根据《广西生态保护禁止事项清单（2022）》，项目未被列入禁止事项清单，视为允许类，与《广西生态保护禁止事项清单（2022）》不冲突。</w:t>
            </w:r>
          </w:p>
          <w:p w14:paraId="4F52977E">
            <w:pPr>
              <w:autoSpaceDE w:val="0"/>
              <w:autoSpaceDN w:val="0"/>
              <w:adjustRightInd w:val="0"/>
              <w:snapToGrid w:val="0"/>
              <w:spacing w:after="0" w:line="360" w:lineRule="auto"/>
              <w:ind w:firstLine="480" w:firstLineChars="200"/>
              <w:rPr>
                <w:color w:val="auto"/>
                <w:sz w:val="24"/>
                <w:highlight w:val="none"/>
              </w:rPr>
            </w:pPr>
            <w:r>
              <w:rPr>
                <w:rFonts w:hint="eastAsia"/>
                <w:color w:val="auto"/>
                <w:sz w:val="24"/>
                <w:highlight w:val="none"/>
              </w:rPr>
              <w:t>项目已取得柳州市北部生态新区行政审批局文件核准批复，项目代码为2311-450212-89-01-852633。</w:t>
            </w:r>
          </w:p>
          <w:p w14:paraId="6513E286">
            <w:pPr>
              <w:autoSpaceDE w:val="0"/>
              <w:autoSpaceDN w:val="0"/>
              <w:adjustRightInd w:val="0"/>
              <w:snapToGrid w:val="0"/>
              <w:spacing w:line="360" w:lineRule="auto"/>
              <w:ind w:firstLine="482" w:firstLineChars="200"/>
              <w:jc w:val="both"/>
              <w:rPr>
                <w:b/>
                <w:bCs/>
                <w:color w:val="auto"/>
                <w:sz w:val="24"/>
                <w:u w:val="none"/>
              </w:rPr>
            </w:pPr>
            <w:r>
              <w:rPr>
                <w:rFonts w:hint="eastAsia"/>
                <w:b/>
                <w:bCs/>
                <w:color w:val="auto"/>
                <w:sz w:val="24"/>
                <w:u w:val="none"/>
              </w:rPr>
              <w:t>2、与生态环境分区管控符合性分析</w:t>
            </w:r>
          </w:p>
          <w:p w14:paraId="5903F5A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Times New Roman" w:hAnsi="Times New Roman" w:eastAsia="宋体" w:cs="Times New Roman"/>
                <w:color w:val="auto"/>
                <w:kern w:val="0"/>
                <w:sz w:val="24"/>
                <w:u w:val="none"/>
                <w:lang w:val="en-US" w:eastAsia="zh-CN"/>
              </w:rPr>
              <w:t>根据《柳州市生态环境局关于印发实施柳州市生态环境分区管控动态更新成果（</w:t>
            </w:r>
            <w:r>
              <w:rPr>
                <w:rFonts w:hint="default" w:ascii="Times New Roman" w:hAnsi="Times New Roman" w:eastAsia="宋体" w:cs="Times New Roman"/>
                <w:color w:val="auto"/>
                <w:kern w:val="0"/>
                <w:sz w:val="24"/>
                <w:u w:val="none"/>
                <w:lang w:val="en-US" w:eastAsia="zh-CN"/>
              </w:rPr>
              <w:t>2023</w:t>
            </w:r>
            <w:r>
              <w:rPr>
                <w:rFonts w:hint="eastAsia" w:ascii="Times New Roman" w:hAnsi="Times New Roman" w:eastAsia="宋体" w:cs="Times New Roman"/>
                <w:color w:val="auto"/>
                <w:kern w:val="0"/>
                <w:sz w:val="24"/>
                <w:u w:val="none"/>
                <w:lang w:val="en-US" w:eastAsia="zh-CN"/>
              </w:rPr>
              <w:t>年）的通知》（柳</w:t>
            </w:r>
            <w:r>
              <w:rPr>
                <w:rFonts w:hint="eastAsia" w:ascii="Times New Roman" w:hAnsi="Times New Roman" w:eastAsia="宋体" w:cs="Times New Roman"/>
                <w:kern w:val="0"/>
                <w:sz w:val="24"/>
                <w:u w:val="none"/>
                <w:lang w:val="en-US" w:eastAsia="zh-CN"/>
              </w:rPr>
              <w:t>环规〔</w:t>
            </w:r>
            <w:r>
              <w:rPr>
                <w:rFonts w:hint="default" w:ascii="Times New Roman" w:hAnsi="Times New Roman" w:eastAsia="宋体" w:cs="Times New Roman"/>
                <w:kern w:val="0"/>
                <w:sz w:val="24"/>
                <w:u w:val="none"/>
                <w:lang w:val="en-US" w:eastAsia="zh-CN"/>
              </w:rPr>
              <w:t>2024〕1号</w:t>
            </w:r>
            <w:r>
              <w:rPr>
                <w:rFonts w:hint="eastAsia" w:ascii="Times New Roman" w:hAnsi="Times New Roman" w:eastAsia="宋体" w:cs="Times New Roman"/>
                <w:kern w:val="0"/>
                <w:sz w:val="24"/>
                <w:u w:val="none"/>
                <w:lang w:val="en-US" w:eastAsia="zh-CN"/>
              </w:rPr>
              <w:t>），</w:t>
            </w:r>
            <w:r>
              <w:rPr>
                <w:rFonts w:hint="eastAsia"/>
                <w:sz w:val="24"/>
              </w:rPr>
              <w:t>对柳州市生态环境分区管控成果进行更新调整</w:t>
            </w:r>
            <w:r>
              <w:rPr>
                <w:rFonts w:hint="eastAsia"/>
                <w:sz w:val="24"/>
                <w:lang w:eastAsia="zh-CN"/>
              </w:rPr>
              <w:t>，</w:t>
            </w:r>
            <w:r>
              <w:rPr>
                <w:rFonts w:hint="eastAsia"/>
                <w:sz w:val="24"/>
                <w:lang w:val="en-US" w:eastAsia="zh-CN"/>
              </w:rPr>
              <w:t>并于2024年12月16日</w:t>
            </w:r>
            <w:r>
              <w:rPr>
                <w:rFonts w:hint="eastAsia"/>
                <w:sz w:val="24"/>
              </w:rPr>
              <w:t>起执行。</w:t>
            </w:r>
          </w:p>
          <w:p w14:paraId="032F3A2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u w:val="none"/>
                <w:lang w:val="en-US" w:eastAsia="zh-CN"/>
              </w:rPr>
            </w:pPr>
            <w:r>
              <w:rPr>
                <w:rFonts w:hint="eastAsia" w:ascii="Times New Roman" w:hAnsi="Times New Roman" w:eastAsia="宋体" w:cs="Times New Roman"/>
                <w:kern w:val="0"/>
                <w:sz w:val="24"/>
                <w:u w:val="none"/>
                <w:lang w:val="en-US" w:eastAsia="zh-CN"/>
              </w:rPr>
              <w:t>全市共划定101个环境管控单元：优先保护单元个数为50个，占全市陆域国土总面积的48.53%；重点管控单元个数为41个，占全市土地陆域国土总面积的17.29%；一般管控单元个数为10个，占全市陆域国土总面积的34.18%。</w:t>
            </w:r>
          </w:p>
          <w:p w14:paraId="58E5EB40">
            <w:pPr>
              <w:autoSpaceDE w:val="0"/>
              <w:autoSpaceDN w:val="0"/>
              <w:adjustRightInd w:val="0"/>
              <w:snapToGrid w:val="0"/>
              <w:spacing w:line="360" w:lineRule="auto"/>
              <w:ind w:firstLine="480" w:firstLineChars="200"/>
              <w:jc w:val="both"/>
              <w:rPr>
                <w:rFonts w:hint="eastAsia" w:eastAsia="宋体"/>
                <w:sz w:val="24"/>
                <w:u w:val="none"/>
                <w:lang w:eastAsia="zh-CN"/>
              </w:rPr>
            </w:pPr>
            <w:r>
              <w:rPr>
                <w:rFonts w:hint="eastAsia"/>
                <w:sz w:val="24"/>
                <w:u w:val="none"/>
                <w:lang w:eastAsia="zh-CN"/>
              </w:rPr>
              <w:t>（</w:t>
            </w:r>
            <w:r>
              <w:rPr>
                <w:rFonts w:hint="eastAsia"/>
                <w:sz w:val="24"/>
                <w:u w:val="none"/>
                <w:lang w:val="en-US" w:eastAsia="zh-CN"/>
              </w:rPr>
              <w:t>1</w:t>
            </w:r>
            <w:r>
              <w:rPr>
                <w:rFonts w:hint="eastAsia"/>
                <w:sz w:val="24"/>
                <w:u w:val="none"/>
                <w:lang w:eastAsia="zh-CN"/>
              </w:rPr>
              <w:t>）生态</w:t>
            </w:r>
            <w:r>
              <w:rPr>
                <w:rFonts w:hint="eastAsia"/>
                <w:sz w:val="24"/>
                <w:u w:val="none"/>
                <w:lang w:val="en-US" w:eastAsia="zh-CN"/>
              </w:rPr>
              <w:t>保护</w:t>
            </w:r>
            <w:r>
              <w:rPr>
                <w:rFonts w:hint="eastAsia"/>
                <w:sz w:val="24"/>
                <w:u w:val="none"/>
                <w:lang w:eastAsia="zh-CN"/>
              </w:rPr>
              <w:t>红线相符性</w:t>
            </w:r>
          </w:p>
          <w:p w14:paraId="665FEFDA">
            <w:pPr>
              <w:autoSpaceDE w:val="0"/>
              <w:autoSpaceDN w:val="0"/>
              <w:adjustRightInd w:val="0"/>
              <w:snapToGrid w:val="0"/>
              <w:spacing w:line="360" w:lineRule="auto"/>
              <w:ind w:firstLine="480" w:firstLineChars="200"/>
              <w:jc w:val="both"/>
              <w:rPr>
                <w:rFonts w:hint="eastAsia"/>
                <w:sz w:val="24"/>
                <w:highlight w:val="none"/>
                <w:u w:val="none"/>
              </w:rPr>
            </w:pPr>
            <w:r>
              <w:rPr>
                <w:rFonts w:hint="eastAsia"/>
                <w:sz w:val="24"/>
                <w:u w:val="none"/>
              </w:rPr>
              <w:t>经与广西“三线一单</w:t>
            </w:r>
            <w:r>
              <w:rPr>
                <w:rFonts w:hint="eastAsia"/>
                <w:sz w:val="24"/>
                <w:highlight w:val="none"/>
                <w:u w:val="none"/>
              </w:rPr>
              <w:t>”数据共享应用平台中成果数据进行空间冲突分析，项目涉及</w:t>
            </w:r>
            <w:r>
              <w:rPr>
                <w:rFonts w:hint="eastAsia"/>
                <w:sz w:val="24"/>
                <w:highlight w:val="none"/>
                <w:u w:val="none"/>
                <w:lang w:val="en-US" w:eastAsia="zh-CN"/>
              </w:rPr>
              <w:t>广西柳州阳和工业新区重点管控单元（ZH45020320001）</w:t>
            </w:r>
            <w:r>
              <w:rPr>
                <w:rFonts w:hint="eastAsia"/>
                <w:sz w:val="24"/>
                <w:highlight w:val="none"/>
                <w:u w:val="none"/>
              </w:rPr>
              <w:t>。项目所在区域不涉及优先保护单元，不涉及自然保护区、风景名胜区、森林公园、地质公园、湿地公园等特殊生态敏感区，不在饮用水水源保护区范围内，</w:t>
            </w:r>
            <w:r>
              <w:rPr>
                <w:rFonts w:hint="eastAsia"/>
                <w:sz w:val="24"/>
                <w:highlight w:val="none"/>
                <w:u w:val="none"/>
                <w:lang w:eastAsia="zh-CN"/>
              </w:rPr>
              <w:t>不在生态</w:t>
            </w:r>
            <w:r>
              <w:rPr>
                <w:rFonts w:hint="eastAsia"/>
                <w:sz w:val="24"/>
                <w:highlight w:val="none"/>
                <w:u w:val="none"/>
                <w:lang w:val="en-US" w:eastAsia="zh-CN"/>
              </w:rPr>
              <w:t>保护</w:t>
            </w:r>
            <w:r>
              <w:rPr>
                <w:rFonts w:hint="eastAsia"/>
                <w:sz w:val="24"/>
                <w:highlight w:val="none"/>
                <w:u w:val="none"/>
                <w:lang w:eastAsia="zh-CN"/>
              </w:rPr>
              <w:t>红线范围内，</w:t>
            </w:r>
            <w:r>
              <w:rPr>
                <w:rFonts w:hint="eastAsia"/>
                <w:sz w:val="24"/>
                <w:highlight w:val="none"/>
                <w:u w:val="none"/>
              </w:rPr>
              <w:t>符合生态</w:t>
            </w:r>
            <w:r>
              <w:rPr>
                <w:rFonts w:hint="eastAsia"/>
                <w:sz w:val="24"/>
                <w:highlight w:val="none"/>
                <w:u w:val="none"/>
                <w:lang w:val="en-US" w:eastAsia="zh-CN"/>
              </w:rPr>
              <w:t>保护</w:t>
            </w:r>
            <w:r>
              <w:rPr>
                <w:rFonts w:hint="eastAsia"/>
                <w:sz w:val="24"/>
                <w:highlight w:val="none"/>
                <w:u w:val="none"/>
              </w:rPr>
              <w:t>红线管控要求。</w:t>
            </w:r>
          </w:p>
          <w:p w14:paraId="45ADB9C4">
            <w:pPr>
              <w:autoSpaceDE w:val="0"/>
              <w:autoSpaceDN w:val="0"/>
              <w:adjustRightInd w:val="0"/>
              <w:snapToGrid w:val="0"/>
              <w:spacing w:line="276" w:lineRule="auto"/>
              <w:jc w:val="center"/>
              <w:rPr>
                <w:sz w:val="24"/>
                <w:u w:val="none"/>
              </w:rPr>
            </w:pPr>
            <w:r>
              <w:rPr>
                <w:u w:val="none"/>
              </w:rPr>
              <w:drawing>
                <wp:inline distT="0" distB="0" distL="114300" distR="114300">
                  <wp:extent cx="4218940" cy="3035300"/>
                  <wp:effectExtent l="0" t="0" r="10160"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11"/>
                          <a:stretch>
                            <a:fillRect/>
                          </a:stretch>
                        </pic:blipFill>
                        <pic:spPr>
                          <a:xfrm>
                            <a:off x="0" y="0"/>
                            <a:ext cx="4218940" cy="3035300"/>
                          </a:xfrm>
                          <a:prstGeom prst="rect">
                            <a:avLst/>
                          </a:prstGeom>
                          <a:noFill/>
                          <a:ln>
                            <a:noFill/>
                          </a:ln>
                        </pic:spPr>
                      </pic:pic>
                    </a:graphicData>
                  </a:graphic>
                </wp:inline>
              </w:drawing>
            </w:r>
          </w:p>
          <w:p w14:paraId="4DF52A6C">
            <w:pPr>
              <w:autoSpaceDE w:val="0"/>
              <w:autoSpaceDN w:val="0"/>
              <w:adjustRightInd w:val="0"/>
              <w:snapToGrid w:val="0"/>
              <w:spacing w:line="276" w:lineRule="auto"/>
              <w:jc w:val="center"/>
              <w:rPr>
                <w:b/>
                <w:bCs/>
                <w:kern w:val="0"/>
                <w:sz w:val="24"/>
                <w:highlight w:val="none"/>
                <w:u w:val="none"/>
              </w:rPr>
            </w:pPr>
            <w:r>
              <w:rPr>
                <w:rFonts w:hint="eastAsia"/>
                <w:b/>
                <w:bCs/>
                <w:szCs w:val="21"/>
                <w:highlight w:val="none"/>
                <w:u w:val="none"/>
              </w:rPr>
              <w:t>图</w:t>
            </w:r>
            <w:r>
              <w:rPr>
                <w:b/>
                <w:bCs/>
                <w:szCs w:val="21"/>
                <w:highlight w:val="none"/>
                <w:u w:val="none"/>
              </w:rPr>
              <w:t>1-</w:t>
            </w:r>
            <w:r>
              <w:rPr>
                <w:rFonts w:hint="eastAsia"/>
                <w:b/>
                <w:bCs/>
                <w:szCs w:val="21"/>
                <w:highlight w:val="none"/>
                <w:u w:val="none"/>
                <w:lang w:val="en-US" w:eastAsia="zh-CN"/>
              </w:rPr>
              <w:t>1</w:t>
            </w:r>
            <w:r>
              <w:rPr>
                <w:rFonts w:hint="eastAsia"/>
                <w:b/>
                <w:bCs/>
                <w:szCs w:val="21"/>
                <w:highlight w:val="none"/>
                <w:u w:val="none"/>
              </w:rPr>
              <w:t>项目</w:t>
            </w:r>
            <w:r>
              <w:rPr>
                <w:rFonts w:hint="eastAsia"/>
                <w:b/>
                <w:bCs/>
                <w:szCs w:val="21"/>
                <w:highlight w:val="none"/>
                <w:u w:val="none"/>
                <w:lang w:eastAsia="zh-CN"/>
              </w:rPr>
              <w:t>所处</w:t>
            </w:r>
            <w:r>
              <w:rPr>
                <w:rFonts w:hint="eastAsia"/>
                <w:b/>
                <w:bCs/>
                <w:sz w:val="24"/>
                <w:highlight w:val="none"/>
                <w:u w:val="none"/>
                <w:lang w:val="en-US" w:eastAsia="zh-CN"/>
              </w:rPr>
              <w:t>柳州市</w:t>
            </w:r>
            <w:r>
              <w:rPr>
                <w:rFonts w:hint="eastAsia"/>
                <w:b/>
                <w:bCs/>
                <w:szCs w:val="21"/>
                <w:highlight w:val="none"/>
                <w:u w:val="none"/>
                <w:lang w:eastAsia="zh-CN"/>
              </w:rPr>
              <w:t>环境控制单元</w:t>
            </w:r>
            <w:r>
              <w:rPr>
                <w:rFonts w:hint="eastAsia"/>
                <w:b/>
                <w:bCs/>
                <w:szCs w:val="21"/>
                <w:highlight w:val="none"/>
                <w:u w:val="none"/>
              </w:rPr>
              <w:t>示意图</w:t>
            </w:r>
          </w:p>
          <w:p w14:paraId="5F65FE4B">
            <w:pPr>
              <w:autoSpaceDE w:val="0"/>
              <w:autoSpaceDN w:val="0"/>
              <w:adjustRightInd w:val="0"/>
              <w:snapToGrid w:val="0"/>
              <w:spacing w:line="360" w:lineRule="auto"/>
              <w:ind w:firstLine="480" w:firstLineChars="200"/>
              <w:rPr>
                <w:sz w:val="24"/>
                <w:u w:val="none"/>
              </w:rPr>
            </w:pPr>
            <w:r>
              <w:rPr>
                <w:rFonts w:hint="eastAsia"/>
                <w:sz w:val="24"/>
                <w:u w:val="none"/>
              </w:rPr>
              <w:t>（2）环境质量底线</w:t>
            </w:r>
          </w:p>
          <w:p w14:paraId="6B5A205C">
            <w:pPr>
              <w:autoSpaceDE w:val="0"/>
              <w:autoSpaceDN w:val="0"/>
              <w:adjustRightInd w:val="0"/>
              <w:snapToGrid w:val="0"/>
              <w:spacing w:line="360" w:lineRule="auto"/>
              <w:ind w:firstLine="480" w:firstLineChars="200"/>
              <w:rPr>
                <w:sz w:val="24"/>
                <w:u w:val="none"/>
              </w:rPr>
            </w:pPr>
            <w:r>
              <w:rPr>
                <w:rFonts w:hint="eastAsia"/>
                <w:sz w:val="24"/>
                <w:u w:val="none"/>
              </w:rPr>
              <w:t>输变电工程为国家基础产业建设项目，本项目运行期间无废气和废水产生和排放；经</w:t>
            </w:r>
            <w:r>
              <w:rPr>
                <w:rFonts w:hint="eastAsia"/>
                <w:sz w:val="24"/>
                <w:u w:val="none"/>
                <w:lang w:val="en-US" w:eastAsia="zh-CN"/>
              </w:rPr>
              <w:t>类比</w:t>
            </w:r>
            <w:r>
              <w:rPr>
                <w:rFonts w:hint="eastAsia"/>
                <w:sz w:val="24"/>
                <w:u w:val="none"/>
              </w:rPr>
              <w:t>分析，220</w:t>
            </w:r>
            <w:r>
              <w:rPr>
                <w:rFonts w:hint="eastAsia"/>
                <w:sz w:val="24"/>
                <w:u w:val="none"/>
                <w:lang w:val="en-US" w:eastAsia="zh-CN"/>
              </w:rPr>
              <w:t>kV果山站扩建工程</w:t>
            </w:r>
            <w:r>
              <w:rPr>
                <w:rFonts w:hint="eastAsia"/>
                <w:sz w:val="24"/>
                <w:u w:val="none"/>
              </w:rPr>
              <w:t>投运后，工频电场强度和工频磁感应强度满足《电磁环境控制限值》（GB8702-2014）限值要求</w:t>
            </w:r>
            <w:r>
              <w:rPr>
                <w:rFonts w:hint="eastAsia"/>
                <w:sz w:val="24"/>
                <w:u w:val="none"/>
                <w:lang w:eastAsia="zh-CN"/>
              </w:rPr>
              <w:t>。</w:t>
            </w:r>
            <w:r>
              <w:rPr>
                <w:rFonts w:hint="eastAsia"/>
                <w:sz w:val="24"/>
                <w:u w:val="none"/>
                <w:lang w:val="en-US" w:eastAsia="zh-CN"/>
              </w:rPr>
              <w:t>依据</w:t>
            </w:r>
            <w:r>
              <w:rPr>
                <w:rFonts w:hint="eastAsia"/>
                <w:sz w:val="24"/>
                <w:u w:val="none"/>
              </w:rPr>
              <w:t>柳政规〔2023〕10号柳州市人民政府关于印发《柳州市城市区域声环境功能区划分调整方案》的通知</w:t>
            </w:r>
            <w:r>
              <w:rPr>
                <w:rFonts w:hint="eastAsia"/>
                <w:sz w:val="24"/>
                <w:u w:val="none"/>
                <w:lang w:val="en-US" w:eastAsia="zh-CN"/>
              </w:rPr>
              <w:t>果山</w:t>
            </w:r>
            <w:r>
              <w:rPr>
                <w:rFonts w:hint="eastAsia"/>
                <w:sz w:val="24"/>
                <w:u w:val="none"/>
              </w:rPr>
              <w:t>变电站</w:t>
            </w:r>
            <w:r>
              <w:rPr>
                <w:rFonts w:hint="eastAsia"/>
                <w:sz w:val="24"/>
                <w:u w:val="none"/>
                <w:lang w:val="en-US" w:eastAsia="zh-CN"/>
              </w:rPr>
              <w:t>位于3类声环境功能区，经预测，本工程扩建后</w:t>
            </w:r>
            <w:r>
              <w:rPr>
                <w:rFonts w:hint="eastAsia"/>
                <w:sz w:val="24"/>
                <w:u w:val="none"/>
              </w:rPr>
              <w:t>厂界噪声贡献值满足《工业企业厂界环境噪声排放标准》（GB12348-2008）</w:t>
            </w:r>
            <w:r>
              <w:rPr>
                <w:rFonts w:hint="eastAsia"/>
                <w:sz w:val="24"/>
                <w:highlight w:val="none"/>
                <w:u w:val="none"/>
                <w:shd w:val="clear"/>
                <w:lang w:val="en-US" w:eastAsia="zh-CN"/>
              </w:rPr>
              <w:t>3</w:t>
            </w:r>
            <w:r>
              <w:rPr>
                <w:rFonts w:hint="eastAsia"/>
                <w:sz w:val="24"/>
                <w:highlight w:val="none"/>
                <w:u w:val="none"/>
                <w:shd w:val="clear"/>
              </w:rPr>
              <w:t>类</w:t>
            </w:r>
            <w:r>
              <w:rPr>
                <w:rFonts w:hint="eastAsia"/>
                <w:sz w:val="24"/>
                <w:u w:val="none"/>
                <w:shd w:val="clear"/>
              </w:rPr>
              <w:t>标准</w:t>
            </w:r>
            <w:r>
              <w:rPr>
                <w:rFonts w:hint="eastAsia"/>
                <w:sz w:val="24"/>
                <w:u w:val="none"/>
              </w:rPr>
              <w:t>限值要求</w:t>
            </w:r>
            <w:r>
              <w:rPr>
                <w:rFonts w:hint="eastAsia"/>
                <w:sz w:val="24"/>
                <w:u w:val="none"/>
                <w:lang w:eastAsia="zh-CN"/>
              </w:rPr>
              <w:t>，</w:t>
            </w:r>
            <w:r>
              <w:rPr>
                <w:rFonts w:hint="eastAsia"/>
                <w:sz w:val="24"/>
                <w:u w:val="none"/>
              </w:rPr>
              <w:t>项目实施后不会影响区域环境质量目标的实现，符合环境质量底线要求。</w:t>
            </w:r>
          </w:p>
          <w:p w14:paraId="39725968">
            <w:pPr>
              <w:autoSpaceDE w:val="0"/>
              <w:autoSpaceDN w:val="0"/>
              <w:adjustRightInd w:val="0"/>
              <w:snapToGrid w:val="0"/>
              <w:spacing w:line="360" w:lineRule="auto"/>
              <w:ind w:firstLine="480" w:firstLineChars="200"/>
              <w:rPr>
                <w:sz w:val="24"/>
                <w:u w:val="none"/>
              </w:rPr>
            </w:pPr>
            <w:r>
              <w:rPr>
                <w:rFonts w:hint="eastAsia"/>
                <w:sz w:val="24"/>
                <w:u w:val="none"/>
              </w:rPr>
              <w:t>（3）资源利用上线</w:t>
            </w:r>
          </w:p>
          <w:p w14:paraId="04E60320">
            <w:pPr>
              <w:autoSpaceDE w:val="0"/>
              <w:autoSpaceDN w:val="0"/>
              <w:adjustRightInd w:val="0"/>
              <w:snapToGrid w:val="0"/>
              <w:spacing w:line="360" w:lineRule="auto"/>
              <w:ind w:firstLine="480" w:firstLineChars="200"/>
              <w:rPr>
                <w:sz w:val="24"/>
                <w:u w:val="none"/>
              </w:rPr>
            </w:pPr>
            <w:r>
              <w:rPr>
                <w:rFonts w:hint="eastAsia"/>
                <w:sz w:val="24"/>
                <w:u w:val="none"/>
              </w:rPr>
              <w:t>资源利用上线是促进资源能源节约，保障能源、水、土地等资源高效利用，不应突破最高限制。本项目运营过程中会消耗一定量的电能、水资源等，项目资源消耗量相对区域资源利用总量较少，不会影响当地的资源供需平衡，</w:t>
            </w:r>
            <w:r>
              <w:rPr>
                <w:rFonts w:hint="eastAsia"/>
                <w:sz w:val="24"/>
                <w:u w:val="none"/>
                <w:lang w:val="en-US" w:eastAsia="zh-CN"/>
              </w:rPr>
              <w:t>项目建设不新增占地，</w:t>
            </w:r>
            <w:r>
              <w:rPr>
                <w:rFonts w:hint="eastAsia"/>
                <w:sz w:val="24"/>
                <w:u w:val="none"/>
              </w:rPr>
              <w:t>符合资源利用上线要求。</w:t>
            </w:r>
          </w:p>
          <w:p w14:paraId="1FEDC52A">
            <w:pPr>
              <w:autoSpaceDE w:val="0"/>
              <w:autoSpaceDN w:val="0"/>
              <w:adjustRightInd w:val="0"/>
              <w:snapToGrid w:val="0"/>
              <w:spacing w:line="360" w:lineRule="auto"/>
              <w:ind w:firstLine="480" w:firstLineChars="200"/>
              <w:rPr>
                <w:sz w:val="24"/>
                <w:u w:val="none"/>
              </w:rPr>
            </w:pPr>
            <w:r>
              <w:rPr>
                <w:rFonts w:hint="eastAsia"/>
                <w:sz w:val="24"/>
                <w:u w:val="none"/>
              </w:rPr>
              <w:t>（4）环境准入负面清单</w:t>
            </w:r>
          </w:p>
          <w:p w14:paraId="6B9358A3">
            <w:pPr>
              <w:autoSpaceDE w:val="0"/>
              <w:autoSpaceDN w:val="0"/>
              <w:adjustRightInd w:val="0"/>
              <w:snapToGrid w:val="0"/>
              <w:spacing w:line="360" w:lineRule="auto"/>
              <w:ind w:firstLine="480" w:firstLineChars="200"/>
              <w:rPr>
                <w:sz w:val="24"/>
                <w:u w:val="none"/>
              </w:rPr>
            </w:pPr>
            <w:r>
              <w:rPr>
                <w:rFonts w:hint="eastAsia"/>
                <w:sz w:val="24"/>
                <w:u w:val="none"/>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14:paraId="48913AFD">
            <w:pPr>
              <w:autoSpaceDE w:val="0"/>
              <w:autoSpaceDN w:val="0"/>
              <w:adjustRightInd w:val="0"/>
              <w:snapToGrid w:val="0"/>
              <w:spacing w:line="360" w:lineRule="auto"/>
              <w:ind w:firstLine="480" w:firstLineChars="200"/>
              <w:rPr>
                <w:sz w:val="24"/>
                <w:u w:val="none"/>
              </w:rPr>
            </w:pPr>
            <w:r>
              <w:rPr>
                <w:rFonts w:hint="eastAsia"/>
                <w:sz w:val="24"/>
                <w:u w:val="none"/>
              </w:rPr>
              <w:t>本项目所在</w:t>
            </w:r>
            <w:r>
              <w:rPr>
                <w:rFonts w:hint="eastAsia"/>
                <w:sz w:val="24"/>
                <w:highlight w:val="none"/>
                <w:u w:val="none"/>
              </w:rPr>
              <w:t>地</w:t>
            </w:r>
            <w:r>
              <w:rPr>
                <w:rFonts w:hint="eastAsia"/>
                <w:sz w:val="24"/>
                <w:highlight w:val="none"/>
                <w:u w:val="none"/>
                <w:lang w:val="en-US" w:eastAsia="zh-CN"/>
              </w:rPr>
              <w:t>柳州</w:t>
            </w:r>
            <w:r>
              <w:rPr>
                <w:rFonts w:hint="eastAsia"/>
                <w:sz w:val="24"/>
                <w:highlight w:val="none"/>
                <w:u w:val="none"/>
              </w:rPr>
              <w:t>市</w:t>
            </w:r>
            <w:r>
              <w:rPr>
                <w:rFonts w:hint="eastAsia"/>
                <w:sz w:val="24"/>
                <w:highlight w:val="none"/>
                <w:u w:val="none"/>
                <w:lang w:val="en-US" w:eastAsia="zh-CN"/>
              </w:rPr>
              <w:t>阳和工业新区不</w:t>
            </w:r>
            <w:r>
              <w:rPr>
                <w:rFonts w:hint="eastAsia"/>
                <w:sz w:val="24"/>
                <w:highlight w:val="none"/>
                <w:u w:val="none"/>
              </w:rPr>
              <w:t>在</w:t>
            </w:r>
            <w:r>
              <w:rPr>
                <w:rFonts w:hint="eastAsia"/>
                <w:sz w:val="24"/>
                <w:u w:val="none"/>
              </w:rPr>
              <w:t>《广西壮族自治区重点生态功能区县产业准入负面清单调整方案》（2024年4月）所列县（市）产业准入负面清单中。</w:t>
            </w:r>
          </w:p>
          <w:p w14:paraId="259037A9">
            <w:pPr>
              <w:autoSpaceDE w:val="0"/>
              <w:autoSpaceDN w:val="0"/>
              <w:adjustRightInd w:val="0"/>
              <w:snapToGrid w:val="0"/>
              <w:spacing w:line="360" w:lineRule="auto"/>
              <w:ind w:firstLine="480" w:firstLineChars="200"/>
              <w:rPr>
                <w:sz w:val="24"/>
                <w:u w:val="none"/>
              </w:rPr>
            </w:pPr>
            <w:r>
              <w:rPr>
                <w:rFonts w:hint="eastAsia" w:ascii="Times New Roman" w:hAnsi="Times New Roman" w:eastAsia="宋体" w:cs="Times New Roman"/>
                <w:kern w:val="0"/>
                <w:sz w:val="24"/>
                <w:u w:val="none"/>
                <w:lang w:val="en-US" w:eastAsia="zh-CN"/>
              </w:rPr>
              <w:t>根据《柳州市生态环境局关于印发实施柳州市生态环境分区管控动态更新成果（</w:t>
            </w:r>
            <w:r>
              <w:rPr>
                <w:rFonts w:hint="default" w:ascii="Times New Roman" w:hAnsi="Times New Roman" w:eastAsia="宋体" w:cs="Times New Roman"/>
                <w:kern w:val="0"/>
                <w:sz w:val="24"/>
                <w:u w:val="none"/>
                <w:lang w:val="en-US" w:eastAsia="zh-CN"/>
              </w:rPr>
              <w:t>2023</w:t>
            </w:r>
            <w:r>
              <w:rPr>
                <w:rFonts w:hint="eastAsia" w:ascii="Times New Roman" w:hAnsi="Times New Roman" w:eastAsia="宋体" w:cs="Times New Roman"/>
                <w:kern w:val="0"/>
                <w:sz w:val="24"/>
                <w:u w:val="none"/>
                <w:lang w:val="en-US" w:eastAsia="zh-CN"/>
              </w:rPr>
              <w:t>年）的通知》（柳环规〔</w:t>
            </w:r>
            <w:r>
              <w:rPr>
                <w:rFonts w:hint="default" w:ascii="Times New Roman" w:hAnsi="Times New Roman" w:eastAsia="宋体" w:cs="Times New Roman"/>
                <w:kern w:val="0"/>
                <w:sz w:val="24"/>
                <w:u w:val="none"/>
                <w:lang w:val="en-US" w:eastAsia="zh-CN"/>
              </w:rPr>
              <w:t>2024〕1号</w:t>
            </w:r>
            <w:r>
              <w:rPr>
                <w:rFonts w:hint="eastAsia" w:ascii="Times New Roman" w:hAnsi="Times New Roman" w:eastAsia="宋体" w:cs="Times New Roman"/>
                <w:kern w:val="0"/>
                <w:sz w:val="24"/>
                <w:u w:val="none"/>
                <w:lang w:val="en-US" w:eastAsia="zh-CN"/>
              </w:rPr>
              <w:t>）</w:t>
            </w:r>
            <w:r>
              <w:rPr>
                <w:rFonts w:hint="eastAsia"/>
                <w:sz w:val="24"/>
                <w:u w:val="none"/>
              </w:rPr>
              <w:t>，本项目不属于大规模、高强度的工业和城镇开发建设，不会损害所在单元的生态服务功能和生态产品质量，符合单元内生态环境质量目标和资源环境管控要求，因此本项目建设符合所在环境管控单元环境准入及管控要求。</w:t>
            </w:r>
          </w:p>
          <w:p w14:paraId="181ACEA9">
            <w:pPr>
              <w:autoSpaceDE w:val="0"/>
              <w:autoSpaceDN w:val="0"/>
              <w:adjustRightInd w:val="0"/>
              <w:snapToGrid w:val="0"/>
              <w:spacing w:line="360" w:lineRule="auto"/>
              <w:ind w:firstLine="480" w:firstLineChars="200"/>
              <w:rPr>
                <w:sz w:val="24"/>
                <w:u w:val="none"/>
              </w:rPr>
            </w:pPr>
            <w:r>
              <w:rPr>
                <w:rFonts w:hint="eastAsia"/>
                <w:sz w:val="24"/>
                <w:u w:val="none"/>
              </w:rPr>
              <w:t>本项目与所在环境管控单元生态环境准入及管控要求相符性分析见表1-</w:t>
            </w:r>
            <w:r>
              <w:rPr>
                <w:rFonts w:hint="eastAsia"/>
                <w:sz w:val="24"/>
                <w:u w:val="none"/>
                <w:lang w:val="en-US" w:eastAsia="zh-CN"/>
              </w:rPr>
              <w:t>1</w:t>
            </w:r>
            <w:r>
              <w:rPr>
                <w:rFonts w:hint="eastAsia"/>
                <w:sz w:val="24"/>
                <w:u w:val="none"/>
              </w:rPr>
              <w:t>。</w:t>
            </w:r>
          </w:p>
          <w:p w14:paraId="2F0227C8">
            <w:pPr>
              <w:autoSpaceDE w:val="0"/>
              <w:autoSpaceDN w:val="0"/>
              <w:adjustRightInd w:val="0"/>
              <w:snapToGrid w:val="0"/>
              <w:jc w:val="center"/>
              <w:rPr>
                <w:kern w:val="0"/>
                <w:sz w:val="24"/>
                <w:highlight w:val="none"/>
                <w:u w:val="none"/>
              </w:rPr>
            </w:pPr>
            <w:r>
              <w:rPr>
                <w:b/>
                <w:bCs/>
                <w:szCs w:val="21"/>
                <w:u w:val="none"/>
              </w:rPr>
              <w:t>表1-</w:t>
            </w:r>
            <w:r>
              <w:rPr>
                <w:rFonts w:hint="eastAsia"/>
                <w:b/>
                <w:bCs/>
                <w:szCs w:val="21"/>
                <w:u w:val="none"/>
                <w:lang w:val="en-US" w:eastAsia="zh-CN"/>
              </w:rPr>
              <w:t>1</w:t>
            </w:r>
            <w:r>
              <w:rPr>
                <w:rFonts w:hint="eastAsia"/>
                <w:b/>
                <w:bCs/>
                <w:szCs w:val="21"/>
                <w:highlight w:val="none"/>
                <w:u w:val="none"/>
                <w:lang w:eastAsia="zh-CN"/>
              </w:rPr>
              <w:t>本</w:t>
            </w:r>
            <w:r>
              <w:rPr>
                <w:rFonts w:hint="eastAsia"/>
                <w:b/>
                <w:bCs/>
                <w:szCs w:val="21"/>
                <w:highlight w:val="none"/>
                <w:u w:val="none"/>
              </w:rPr>
              <w:t>项目与</w:t>
            </w:r>
            <w:r>
              <w:rPr>
                <w:rFonts w:hint="eastAsia"/>
                <w:b/>
                <w:bCs/>
                <w:sz w:val="24"/>
                <w:highlight w:val="none"/>
                <w:u w:val="none"/>
                <w:lang w:val="en-US" w:eastAsia="zh-CN"/>
              </w:rPr>
              <w:t>阳和工业新区</w:t>
            </w:r>
            <w:r>
              <w:rPr>
                <w:rFonts w:hint="eastAsia"/>
                <w:b/>
                <w:bCs/>
                <w:szCs w:val="21"/>
                <w:highlight w:val="none"/>
                <w:u w:val="none"/>
                <w:lang w:val="en-US" w:eastAsia="zh-CN"/>
              </w:rPr>
              <w:t>重点</w:t>
            </w:r>
            <w:r>
              <w:rPr>
                <w:rFonts w:hint="eastAsia"/>
                <w:b/>
                <w:bCs/>
                <w:szCs w:val="21"/>
                <w:highlight w:val="none"/>
                <w:u w:val="none"/>
              </w:rPr>
              <w:t>管控单元生态环境准入及管控要求相符</w:t>
            </w:r>
            <w:r>
              <w:rPr>
                <w:b/>
                <w:bCs/>
                <w:szCs w:val="21"/>
                <w:highlight w:val="none"/>
                <w:u w:val="none"/>
              </w:rPr>
              <w:t>性分析</w:t>
            </w:r>
            <w:r>
              <w:rPr>
                <w:rFonts w:hint="eastAsia"/>
                <w:b/>
                <w:bCs/>
                <w:szCs w:val="21"/>
                <w:highlight w:val="none"/>
                <w:u w:val="none"/>
              </w:rPr>
              <w:t>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34"/>
              <w:gridCol w:w="2573"/>
              <w:gridCol w:w="1293"/>
              <w:gridCol w:w="924"/>
            </w:tblGrid>
            <w:tr w14:paraId="46F0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14:paraId="05A83A14">
                  <w:pPr>
                    <w:pStyle w:val="8"/>
                    <w:autoSpaceDE w:val="0"/>
                    <w:autoSpaceDN w:val="0"/>
                    <w:adjustRightIn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管控单元</w:t>
                  </w:r>
                </w:p>
              </w:tc>
              <w:tc>
                <w:tcPr>
                  <w:tcW w:w="1134" w:type="dxa"/>
                  <w:vAlign w:val="center"/>
                </w:tcPr>
                <w:p w14:paraId="5667BB79">
                  <w:pPr>
                    <w:pStyle w:val="8"/>
                    <w:autoSpaceDE w:val="0"/>
                    <w:autoSpaceDN w:val="0"/>
                    <w:adjustRightIn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管控维度</w:t>
                  </w:r>
                </w:p>
              </w:tc>
              <w:tc>
                <w:tcPr>
                  <w:tcW w:w="2573" w:type="dxa"/>
                  <w:vAlign w:val="center"/>
                </w:tcPr>
                <w:p w14:paraId="0131A439">
                  <w:pPr>
                    <w:pStyle w:val="8"/>
                    <w:autoSpaceDE w:val="0"/>
                    <w:autoSpaceDN w:val="0"/>
                    <w:adjustRightIn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生态环境准入及管控要求</w:t>
                  </w:r>
                </w:p>
              </w:tc>
              <w:tc>
                <w:tcPr>
                  <w:tcW w:w="1293" w:type="dxa"/>
                  <w:vAlign w:val="center"/>
                </w:tcPr>
                <w:p w14:paraId="0611B1A8">
                  <w:pPr>
                    <w:pStyle w:val="8"/>
                    <w:autoSpaceDE w:val="0"/>
                    <w:autoSpaceDN w:val="0"/>
                    <w:adjustRightIn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本项目情况</w:t>
                  </w:r>
                </w:p>
              </w:tc>
              <w:tc>
                <w:tcPr>
                  <w:tcW w:w="924" w:type="dxa"/>
                  <w:vAlign w:val="center"/>
                </w:tcPr>
                <w:p w14:paraId="45030CC2">
                  <w:pPr>
                    <w:pStyle w:val="8"/>
                    <w:autoSpaceDE w:val="0"/>
                    <w:autoSpaceDN w:val="0"/>
                    <w:adjustRightIn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相符性</w:t>
                  </w:r>
                </w:p>
              </w:tc>
            </w:tr>
            <w:tr w14:paraId="01E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restart"/>
                  <w:vAlign w:val="center"/>
                </w:tcPr>
                <w:p w14:paraId="399DE3C1">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广西柳州阳和工业新区重点管控单元（ZH45020320001）</w:t>
                  </w:r>
                </w:p>
              </w:tc>
              <w:tc>
                <w:tcPr>
                  <w:tcW w:w="1134" w:type="dxa"/>
                  <w:vMerge w:val="restart"/>
                  <w:vAlign w:val="center"/>
                </w:tcPr>
                <w:p w14:paraId="5E997ECA">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空间布局约束</w:t>
                  </w:r>
                </w:p>
              </w:tc>
              <w:tc>
                <w:tcPr>
                  <w:tcW w:w="2573" w:type="dxa"/>
                  <w:vAlign w:val="center"/>
                </w:tcPr>
                <w:p w14:paraId="33A04FDD">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1．入园项目必须符合国家、自治区产业政策、供地政策、园区产业定位及园区规划环评结论及审查意见。</w:t>
                  </w:r>
                </w:p>
              </w:tc>
              <w:tc>
                <w:tcPr>
                  <w:tcW w:w="1293" w:type="dxa"/>
                  <w:vAlign w:val="center"/>
                </w:tcPr>
                <w:p w14:paraId="5A6DE1FB">
                  <w:pPr>
                    <w:pStyle w:val="8"/>
                    <w:autoSpaceDE w:val="0"/>
                    <w:autoSpaceDN w:val="0"/>
                    <w:adjustRightInd w:val="0"/>
                    <w:jc w:val="both"/>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本项目建设符合《阳和工业新区产业发展规划（2021-2025年）》及《阳和工业新区产业发展规划(2021-2025年)环境影响报告书》相关要求。</w:t>
                  </w:r>
                </w:p>
              </w:tc>
              <w:tc>
                <w:tcPr>
                  <w:tcW w:w="924" w:type="dxa"/>
                  <w:vAlign w:val="center"/>
                </w:tcPr>
                <w:p w14:paraId="1397F5D3">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0766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1E317B2D">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126349FD">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5F02C749">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2．入驻企业按照环保和行业要求合理设置大气防护距离，以最可能减少对区域空气环境的影响。</w:t>
                  </w:r>
                </w:p>
              </w:tc>
              <w:tc>
                <w:tcPr>
                  <w:tcW w:w="1293" w:type="dxa"/>
                  <w:vAlign w:val="center"/>
                </w:tcPr>
                <w:p w14:paraId="59EA7B57">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采取</w:t>
                  </w:r>
                  <w:r>
                    <w:rPr>
                      <w:rFonts w:hint="eastAsia" w:ascii="Times New Roman" w:hAnsi="Times New Roman" w:eastAsia="宋体" w:cs="Times New Roman"/>
                      <w:sz w:val="21"/>
                      <w:szCs w:val="21"/>
                      <w:u w:val="none"/>
                      <w:lang w:val="en-US" w:eastAsia="zh-CN"/>
                    </w:rPr>
                    <w:t>报告表中</w:t>
                  </w:r>
                  <w:r>
                    <w:rPr>
                      <w:rFonts w:hint="eastAsia" w:ascii="Times New Roman" w:hAnsi="Times New Roman" w:eastAsia="宋体" w:cs="Times New Roman"/>
                      <w:sz w:val="21"/>
                      <w:szCs w:val="21"/>
                      <w:u w:val="none"/>
                      <w:lang w:eastAsia="zh-CN"/>
                    </w:rPr>
                    <w:t>措施后，施工期扬尘对环境空气的影响能得到有效控制，减少对区域空气环境的影响。；运营期无废气产生和排放。</w:t>
                  </w:r>
                </w:p>
              </w:tc>
              <w:tc>
                <w:tcPr>
                  <w:tcW w:w="924" w:type="dxa"/>
                  <w:vAlign w:val="center"/>
                </w:tcPr>
                <w:p w14:paraId="1BCF310D">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7B1A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6AEB44E7">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1F83DD1E">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3C0FD4DD">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3．强化源头管控，新上项目能效需达到国家、自治区相关标准要求。</w:t>
                  </w:r>
                </w:p>
              </w:tc>
              <w:tc>
                <w:tcPr>
                  <w:tcW w:w="1293" w:type="dxa"/>
                  <w:vAlign w:val="center"/>
                </w:tcPr>
                <w:p w14:paraId="73F19BBD">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本项目不涉及</w:t>
                  </w:r>
                  <w:r>
                    <w:rPr>
                      <w:rFonts w:hint="eastAsia" w:cs="Times New Roman"/>
                      <w:sz w:val="21"/>
                      <w:szCs w:val="21"/>
                      <w:u w:val="none"/>
                      <w:lang w:eastAsia="zh-CN"/>
                    </w:rPr>
                    <w:t>。</w:t>
                  </w:r>
                </w:p>
              </w:tc>
              <w:tc>
                <w:tcPr>
                  <w:tcW w:w="924" w:type="dxa"/>
                  <w:vAlign w:val="center"/>
                </w:tcPr>
                <w:p w14:paraId="672E9C1F">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2DA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347A20E7">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010769B6">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6D49D43D">
                  <w:pPr>
                    <w:keepNext w:val="0"/>
                    <w:keepLines w:val="0"/>
                    <w:widowControl/>
                    <w:suppressLineNumbers w:val="0"/>
                    <w:jc w:val="both"/>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eastAsia="zh-CN"/>
                    </w:rPr>
                    <w:t>4．园区周边1公里范围内临近生态保护红线（柳江-黔江流域水源涵养生态保护红线）生态环境敏</w:t>
                  </w:r>
                  <w:r>
                    <w:rPr>
                      <w:rFonts w:hint="eastAsia" w:ascii="宋体" w:hAnsi="宋体" w:eastAsia="宋体" w:cs="宋体"/>
                      <w:color w:val="000000"/>
                      <w:kern w:val="0"/>
                      <w:sz w:val="21"/>
                      <w:szCs w:val="21"/>
                      <w:u w:val="none"/>
                      <w:lang w:val="en-US" w:eastAsia="zh-CN" w:bidi="ar"/>
                    </w:rPr>
                    <w:t>感区域，</w:t>
                  </w:r>
                  <w:r>
                    <w:rPr>
                      <w:rFonts w:hint="eastAsia" w:ascii="Times New Roman" w:hAnsi="Times New Roman" w:eastAsia="宋体" w:cs="Times New Roman"/>
                      <w:sz w:val="21"/>
                      <w:szCs w:val="21"/>
                      <w:u w:val="none"/>
                      <w:lang w:eastAsia="zh-CN"/>
                    </w:rPr>
                    <w:t>应优化产业布局，控制开发强度，新建、改建、扩建项目要采取切实可行的环保措施，降低对周边生态环境敏感区域的影响。</w:t>
                  </w:r>
                </w:p>
              </w:tc>
              <w:tc>
                <w:tcPr>
                  <w:tcW w:w="1293" w:type="dxa"/>
                  <w:vAlign w:val="center"/>
                </w:tcPr>
                <w:p w14:paraId="4C2579D0">
                  <w:pPr>
                    <w:pStyle w:val="8"/>
                    <w:autoSpaceDE w:val="0"/>
                    <w:autoSpaceDN w:val="0"/>
                    <w:adjustRightInd w:val="0"/>
                    <w:jc w:val="both"/>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220kV果山站位于</w:t>
                  </w:r>
                  <w:r>
                    <w:rPr>
                      <w:rFonts w:hint="eastAsia" w:ascii="Times New Roman" w:hAnsi="Times New Roman" w:eastAsia="宋体" w:cs="Times New Roman"/>
                      <w:sz w:val="21"/>
                      <w:szCs w:val="21"/>
                      <w:u w:val="none"/>
                      <w:lang w:val="en-US" w:eastAsia="zh-CN"/>
                    </w:rPr>
                    <w:t>阳和工业新区内远离</w:t>
                  </w:r>
                  <w:r>
                    <w:rPr>
                      <w:rFonts w:hint="eastAsia" w:ascii="Times New Roman" w:hAnsi="Times New Roman" w:eastAsia="宋体" w:cs="Times New Roman"/>
                      <w:sz w:val="21"/>
                      <w:szCs w:val="21"/>
                      <w:u w:val="none"/>
                      <w:lang w:eastAsia="zh-CN"/>
                    </w:rPr>
                    <w:t>柳江-黔江流域水源涵养生态保护红线。</w:t>
                  </w:r>
                  <w:r>
                    <w:rPr>
                      <w:rFonts w:hint="eastAsia" w:ascii="Times New Roman" w:hAnsi="Times New Roman" w:eastAsia="宋体" w:cs="Times New Roman"/>
                      <w:sz w:val="21"/>
                      <w:szCs w:val="21"/>
                      <w:u w:val="none"/>
                      <w:lang w:val="en-US" w:eastAsia="zh-CN"/>
                    </w:rPr>
                    <w:t>本工程在落实工程设计和本工程环境影响报告表中提出的相关污染防治和生态环境保护措施后，可将工程施工带来的负面影响减轻到满足国家有关规定的要求，</w:t>
                  </w:r>
                  <w:r>
                    <w:rPr>
                      <w:rFonts w:hint="eastAsia" w:ascii="Times New Roman" w:hAnsi="Times New Roman" w:eastAsia="宋体" w:cs="Times New Roman"/>
                      <w:sz w:val="21"/>
                      <w:szCs w:val="21"/>
                      <w:u w:val="none"/>
                      <w:lang w:eastAsia="zh-CN"/>
                    </w:rPr>
                    <w:t>降低对周边生态环境敏感区域的影响</w:t>
                  </w:r>
                  <w:r>
                    <w:rPr>
                      <w:rFonts w:hint="eastAsia" w:ascii="Times New Roman" w:hAnsi="Times New Roman" w:eastAsia="宋体" w:cs="Times New Roman"/>
                      <w:sz w:val="21"/>
                      <w:szCs w:val="21"/>
                      <w:u w:val="none"/>
                      <w:lang w:val="en-US" w:eastAsia="zh-CN"/>
                    </w:rPr>
                    <w:t>。</w:t>
                  </w:r>
                </w:p>
              </w:tc>
              <w:tc>
                <w:tcPr>
                  <w:tcW w:w="924" w:type="dxa"/>
                  <w:vAlign w:val="center"/>
                </w:tcPr>
                <w:p w14:paraId="1CAB8C42">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21FF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197BF1D5">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restart"/>
                  <w:vAlign w:val="center"/>
                </w:tcPr>
                <w:p w14:paraId="5677B56C">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污染物排</w:t>
                  </w:r>
                </w:p>
                <w:p w14:paraId="62EE2ADB">
                  <w:pPr>
                    <w:pStyle w:val="8"/>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放管控</w:t>
                  </w:r>
                </w:p>
              </w:tc>
              <w:tc>
                <w:tcPr>
                  <w:tcW w:w="2573" w:type="dxa"/>
                  <w:vAlign w:val="center"/>
                </w:tcPr>
                <w:p w14:paraId="40721043">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1．强化工业企业无组织排放管理。加大对废气排放企业的监管，现有企业尽可能改进现有生产工艺，进一步减少有机废气和异味的产污环节，提高无组织排放废气回收率；对新建企业废气排放执行更严格的排放标准。</w:t>
                  </w:r>
                </w:p>
              </w:tc>
              <w:tc>
                <w:tcPr>
                  <w:tcW w:w="1293" w:type="dxa"/>
                  <w:vAlign w:val="center"/>
                </w:tcPr>
                <w:p w14:paraId="2C99A6B0">
                  <w:pPr>
                    <w:keepNext w:val="0"/>
                    <w:keepLines w:val="0"/>
                    <w:widowControl/>
                    <w:suppressLineNumbers w:val="0"/>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本工程220kV果山站运营期无废气排放</w:t>
                  </w:r>
                </w:p>
              </w:tc>
              <w:tc>
                <w:tcPr>
                  <w:tcW w:w="924" w:type="dxa"/>
                  <w:vAlign w:val="center"/>
                </w:tcPr>
                <w:p w14:paraId="09F33D69">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2B3A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794326EA">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4DBD55BF">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2EAAEB40">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2．加快实施低VOCs含量原辅材料替代。园区内溶剂型涂料、油墨、胶粘剂、清洗剂使用企业制定低VOCs含量原辅材料替代计划。全面推进汽车整车制造底漆、中涂、色漆使用低VOCs含量涂料；在汽车零部件技术成熟的工艺环节，大力推广使用低VOCs含量涂料。</w:t>
                  </w:r>
                </w:p>
              </w:tc>
              <w:tc>
                <w:tcPr>
                  <w:tcW w:w="1293" w:type="dxa"/>
                  <w:vAlign w:val="center"/>
                </w:tcPr>
                <w:p w14:paraId="1955128A">
                  <w:pPr>
                    <w:pStyle w:val="8"/>
                    <w:autoSpaceDE w:val="0"/>
                    <w:autoSpaceDN w:val="0"/>
                    <w:adjustRightInd w:val="0"/>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5AA80F28">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565D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1A7A1564">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5C9BAF64">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08DB2C2F">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3．继续加强工业集聚区集中式污水处理设施建设，确保已建污水处理设施稳定运行及达标排放。园区集中式污水处理设施总排口安装自动监测设备，并与生态环境主管部门联网。按照“清污分流、雨污分流”原则，实施废水分类收集、分质处理。</w:t>
                  </w:r>
                </w:p>
              </w:tc>
              <w:tc>
                <w:tcPr>
                  <w:tcW w:w="1293" w:type="dxa"/>
                  <w:vAlign w:val="center"/>
                </w:tcPr>
                <w:p w14:paraId="0EA42955">
                  <w:pPr>
                    <w:pStyle w:val="8"/>
                    <w:autoSpaceDE w:val="0"/>
                    <w:autoSpaceDN w:val="0"/>
                    <w:adjustRightInd w:val="0"/>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本工程变电站正常运行时，站内无生产废水产生；值班值守人员产生的生活污水经化粪池处理后用于站内绿化，不外排；站内</w:t>
                  </w:r>
                  <w:r>
                    <w:rPr>
                      <w:rFonts w:hint="eastAsia" w:cs="Times New Roman"/>
                      <w:sz w:val="21"/>
                      <w:szCs w:val="21"/>
                      <w:u w:val="none"/>
                      <w:lang w:val="en-US" w:eastAsia="zh-CN"/>
                    </w:rPr>
                    <w:t>排水雨污分流，</w:t>
                  </w:r>
                  <w:r>
                    <w:rPr>
                      <w:rFonts w:hint="eastAsia" w:ascii="Times New Roman" w:hAnsi="Times New Roman" w:eastAsia="宋体" w:cs="Times New Roman"/>
                      <w:sz w:val="21"/>
                      <w:szCs w:val="21"/>
                      <w:u w:val="none"/>
                      <w:lang w:val="en-US" w:eastAsia="zh-CN"/>
                    </w:rPr>
                    <w:t>雨水经雨水排水管收集后排入站外排水沟。</w:t>
                  </w:r>
                </w:p>
              </w:tc>
              <w:tc>
                <w:tcPr>
                  <w:tcW w:w="924" w:type="dxa"/>
                  <w:vAlign w:val="center"/>
                </w:tcPr>
                <w:p w14:paraId="2ECA4EE8">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7009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06AADB46">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4C40A4A8">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3636021F">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4．园区及园区企业排放水污染物，要满足国家或者地方规定的水污染物排放标准和重点水污染物排放总量控制指标。</w:t>
                  </w:r>
                </w:p>
              </w:tc>
              <w:tc>
                <w:tcPr>
                  <w:tcW w:w="1293" w:type="dxa"/>
                  <w:vAlign w:val="center"/>
                </w:tcPr>
                <w:p w14:paraId="40AB4613">
                  <w:pPr>
                    <w:pStyle w:val="8"/>
                    <w:autoSpaceDE w:val="0"/>
                    <w:autoSpaceDN w:val="0"/>
                    <w:adjustRightInd w:val="0"/>
                    <w:jc w:val="both"/>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本工程运行人员产生的生活污水经化粪池处理后用于站内绿化，不外排</w:t>
                  </w:r>
                </w:p>
              </w:tc>
              <w:tc>
                <w:tcPr>
                  <w:tcW w:w="924" w:type="dxa"/>
                  <w:vAlign w:val="center"/>
                </w:tcPr>
                <w:p w14:paraId="36A8C2B4">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3D29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45DEDA10">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6ED96AB8">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056AD381">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5．矿产资源勘查以及采选过程中排土场、露天采场、尾矿库、矿区专用道路、矿山工业场地、沉陷区、矸石场、矿山污染场地等的生态环境保护与治理恢复工作须满足《矿山生态环境保护与恢复治理技术规范（试行）》（HJ651-2013）要求。落实边开采、边保护、边复垦的要求，使新建、在建矿山损毁土地得到全面复垦。</w:t>
                  </w:r>
                </w:p>
              </w:tc>
              <w:tc>
                <w:tcPr>
                  <w:tcW w:w="1293" w:type="dxa"/>
                  <w:vAlign w:val="center"/>
                </w:tcPr>
                <w:p w14:paraId="278925C5">
                  <w:pPr>
                    <w:pStyle w:val="8"/>
                    <w:autoSpaceDE w:val="0"/>
                    <w:autoSpaceDN w:val="0"/>
                    <w:adjustRightInd w:val="0"/>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05598078">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66A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3959B96F">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restart"/>
                  <w:vAlign w:val="center"/>
                </w:tcPr>
                <w:p w14:paraId="7C68950E">
                  <w:pPr>
                    <w:keepNext w:val="0"/>
                    <w:keepLines w:val="0"/>
                    <w:widowControl/>
                    <w:suppressLineNumbers w:val="0"/>
                    <w:jc w:val="left"/>
                    <w:rPr>
                      <w:rFonts w:hint="eastAsia" w:ascii="Times New Roman" w:hAnsi="Times New Roman" w:eastAsia="宋体" w:cs="Times New Roman"/>
                      <w:sz w:val="21"/>
                      <w:szCs w:val="21"/>
                      <w:u w:val="none"/>
                      <w:lang w:eastAsia="zh-CN"/>
                    </w:rPr>
                  </w:pPr>
                  <w:r>
                    <w:rPr>
                      <w:rFonts w:hint="eastAsia" w:ascii="宋体" w:hAnsi="宋体" w:eastAsia="宋体" w:cs="宋体"/>
                      <w:color w:val="000000"/>
                      <w:kern w:val="0"/>
                      <w:sz w:val="20"/>
                      <w:szCs w:val="20"/>
                      <w:u w:val="none"/>
                      <w:lang w:val="en-US" w:eastAsia="zh-CN" w:bidi="ar"/>
                    </w:rPr>
                    <w:t>环境风险防控</w:t>
                  </w:r>
                </w:p>
              </w:tc>
              <w:tc>
                <w:tcPr>
                  <w:tcW w:w="2573" w:type="dxa"/>
                  <w:vAlign w:val="center"/>
                </w:tcPr>
                <w:p w14:paraId="34BBA6E3">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1．开展环境风险评估，制定突发环境事件应急预案并备案，配备应急能力和物资，建设环境应急队伍，并定期演练。企业、园区与地方人民政府环境应急预案应当有机衔接。</w:t>
                  </w:r>
                </w:p>
              </w:tc>
              <w:tc>
                <w:tcPr>
                  <w:tcW w:w="1293" w:type="dxa"/>
                  <w:vAlign w:val="center"/>
                </w:tcPr>
                <w:p w14:paraId="556FDE18">
                  <w:pPr>
                    <w:pStyle w:val="8"/>
                    <w:autoSpaceDE w:val="0"/>
                    <w:autoSpaceDN w:val="0"/>
                    <w:adjustRightInd w:val="0"/>
                    <w:jc w:val="both"/>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本工程已</w:t>
                  </w:r>
                  <w:r>
                    <w:rPr>
                      <w:rFonts w:hint="eastAsia" w:ascii="Times New Roman" w:hAnsi="Times New Roman" w:eastAsia="宋体" w:cs="Times New Roman"/>
                      <w:sz w:val="21"/>
                      <w:szCs w:val="21"/>
                      <w:u w:val="none"/>
                      <w:lang w:eastAsia="zh-CN"/>
                    </w:rPr>
                    <w:t>制定突发环境事件应急预案</w:t>
                  </w:r>
                  <w:r>
                    <w:rPr>
                      <w:rFonts w:hint="eastAsia" w:cs="Times New Roman"/>
                      <w:sz w:val="21"/>
                      <w:szCs w:val="21"/>
                      <w:u w:val="none"/>
                      <w:lang w:eastAsia="zh-CN"/>
                    </w:rPr>
                    <w:t>。</w:t>
                  </w:r>
                </w:p>
              </w:tc>
              <w:tc>
                <w:tcPr>
                  <w:tcW w:w="924" w:type="dxa"/>
                  <w:vAlign w:val="center"/>
                </w:tcPr>
                <w:p w14:paraId="734A0C6B">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484F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14:paraId="1A69CE64">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1B387F2C">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659568C7">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2．土壤污染重点监管单位应当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1293" w:type="dxa"/>
                  <w:vAlign w:val="center"/>
                </w:tcPr>
                <w:p w14:paraId="0D566621">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79A23720">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5846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restart"/>
                  <w:vAlign w:val="center"/>
                </w:tcPr>
                <w:p w14:paraId="34C50E01">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126685BC">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2980CBA1">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3．涉重企业要采用新技术、新工艺，加快提标升级改造，实现全面达标排放。坚决淘汰不符合国家产业政策的落后生产工艺装备。</w:t>
                  </w:r>
                </w:p>
              </w:tc>
              <w:tc>
                <w:tcPr>
                  <w:tcW w:w="1293" w:type="dxa"/>
                  <w:vAlign w:val="center"/>
                </w:tcPr>
                <w:p w14:paraId="6840C4A2">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15A9B9AF">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34B6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07639EAA">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104F571B">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5F97873B">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4．对暂不开发利用的超标地块，实施以防止污染扩散为目的的风险管控；对拟开发利用为居住用地和商业、学校、医疗、养老机构等公共设施用地的超标地块，实施以安全利用为目的的风险管控。</w:t>
                  </w:r>
                </w:p>
              </w:tc>
              <w:tc>
                <w:tcPr>
                  <w:tcW w:w="1293" w:type="dxa"/>
                  <w:vAlign w:val="center"/>
                </w:tcPr>
                <w:p w14:paraId="75A7302E">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5018B480">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r w14:paraId="744C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14:paraId="5C329574">
                  <w:pPr>
                    <w:pStyle w:val="8"/>
                    <w:autoSpaceDE w:val="0"/>
                    <w:autoSpaceDN w:val="0"/>
                    <w:adjustRightInd w:val="0"/>
                    <w:rPr>
                      <w:rFonts w:hint="eastAsia" w:ascii="Times New Roman" w:hAnsi="Times New Roman" w:eastAsia="宋体" w:cs="Times New Roman"/>
                      <w:sz w:val="21"/>
                      <w:szCs w:val="21"/>
                      <w:u w:val="none"/>
                      <w:lang w:eastAsia="zh-CN"/>
                    </w:rPr>
                  </w:pPr>
                </w:p>
              </w:tc>
              <w:tc>
                <w:tcPr>
                  <w:tcW w:w="1134" w:type="dxa"/>
                  <w:vMerge w:val="continue"/>
                  <w:vAlign w:val="center"/>
                </w:tcPr>
                <w:p w14:paraId="700111DE">
                  <w:pPr>
                    <w:pStyle w:val="8"/>
                    <w:autoSpaceDE w:val="0"/>
                    <w:autoSpaceDN w:val="0"/>
                    <w:adjustRightInd w:val="0"/>
                    <w:rPr>
                      <w:rFonts w:hint="eastAsia" w:ascii="Times New Roman" w:hAnsi="Times New Roman" w:eastAsia="宋体" w:cs="Times New Roman"/>
                      <w:sz w:val="21"/>
                      <w:szCs w:val="21"/>
                      <w:u w:val="none"/>
                      <w:lang w:eastAsia="zh-CN"/>
                    </w:rPr>
                  </w:pPr>
                </w:p>
              </w:tc>
              <w:tc>
                <w:tcPr>
                  <w:tcW w:w="2573" w:type="dxa"/>
                  <w:vAlign w:val="center"/>
                </w:tcPr>
                <w:p w14:paraId="2C3331B0">
                  <w:pPr>
                    <w:keepNext w:val="0"/>
                    <w:keepLines w:val="0"/>
                    <w:widowControl/>
                    <w:suppressLineNumbers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5．列入建设用地土壤污染风险管控和修复名录的地块，不得作为住宅、公共管理与公共服务用地，应当采取风险管控措施或实施修复。对达到土壤污染风险评估报告确定的风险管控、修复目标的建设用地地块，土壤污染责任人、土地使用权人可以向自治区人民政府生态环境主管部门申请移出建设用地土壤污染风险管控和修复名录。</w:t>
                  </w:r>
                </w:p>
              </w:tc>
              <w:tc>
                <w:tcPr>
                  <w:tcW w:w="1293" w:type="dxa"/>
                  <w:vAlign w:val="center"/>
                </w:tcPr>
                <w:p w14:paraId="3BCCFEFE">
                  <w:pPr>
                    <w:pStyle w:val="8"/>
                    <w:autoSpaceDE w:val="0"/>
                    <w:autoSpaceDN w:val="0"/>
                    <w:adjustRightInd w:val="0"/>
                    <w:jc w:val="both"/>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本项目不涉及</w:t>
                  </w:r>
                </w:p>
              </w:tc>
              <w:tc>
                <w:tcPr>
                  <w:tcW w:w="924" w:type="dxa"/>
                  <w:vAlign w:val="center"/>
                </w:tcPr>
                <w:p w14:paraId="3A3DE22B">
                  <w:pPr>
                    <w:autoSpaceDE w:val="0"/>
                    <w:autoSpaceDN w:val="0"/>
                    <w:adjustRightInd w:val="0"/>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符合</w:t>
                  </w:r>
                </w:p>
              </w:tc>
            </w:tr>
          </w:tbl>
          <w:p w14:paraId="6834085D">
            <w:pPr>
              <w:autoSpaceDE w:val="0"/>
              <w:autoSpaceDN w:val="0"/>
              <w:adjustRightInd w:val="0"/>
              <w:snapToGrid w:val="0"/>
              <w:rPr>
                <w:sz w:val="24"/>
                <w:u w:val="none"/>
              </w:rPr>
            </w:pPr>
          </w:p>
          <w:p w14:paraId="22502503">
            <w:pPr>
              <w:ind w:firstLine="480" w:firstLineChars="200"/>
              <w:rPr>
                <w:rFonts w:hint="eastAsia"/>
                <w:sz w:val="24"/>
                <w:u w:val="none"/>
              </w:rPr>
            </w:pPr>
            <w:r>
              <w:rPr>
                <w:rFonts w:hint="eastAsia"/>
                <w:sz w:val="24"/>
                <w:u w:val="none"/>
                <w:lang w:val="en-US" w:eastAsia="zh-CN"/>
              </w:rPr>
              <w:t>依据《阳和工业新区产业发展规划（2021-2025年）环境影响报告书》，</w:t>
            </w:r>
            <w:r>
              <w:rPr>
                <w:rFonts w:hint="eastAsia"/>
                <w:sz w:val="24"/>
                <w:u w:val="none"/>
              </w:rPr>
              <w:t>阳和工业新区的生态环境准入及管控要求在执行柳州市生态环境准入及管控要求的前提下还应执行所在管控单元的生态环境准入及管控要求</w:t>
            </w:r>
            <w:r>
              <w:rPr>
                <w:rFonts w:hint="eastAsia"/>
                <w:sz w:val="24"/>
                <w:u w:val="none"/>
                <w:lang w:eastAsia="zh-CN"/>
              </w:rPr>
              <w:t>。</w:t>
            </w:r>
            <w:r>
              <w:rPr>
                <w:rFonts w:hint="eastAsia"/>
                <w:sz w:val="24"/>
                <w:u w:val="none"/>
              </w:rPr>
              <w:t>综上分析，本项目符合</w:t>
            </w:r>
            <w:r>
              <w:rPr>
                <w:rFonts w:hint="eastAsia" w:ascii="Times New Roman" w:hAnsi="Times New Roman" w:eastAsia="宋体" w:cs="Times New Roman"/>
                <w:kern w:val="0"/>
                <w:sz w:val="24"/>
                <w:u w:val="none"/>
                <w:lang w:val="en-US" w:eastAsia="zh-CN"/>
              </w:rPr>
              <w:t>《柳州市生态环境局关于印发实施柳州市生态环境分区管控动态更新成果（</w:t>
            </w:r>
            <w:r>
              <w:rPr>
                <w:rFonts w:hint="default" w:ascii="Times New Roman" w:hAnsi="Times New Roman" w:eastAsia="宋体" w:cs="Times New Roman"/>
                <w:kern w:val="0"/>
                <w:sz w:val="24"/>
                <w:u w:val="none"/>
                <w:lang w:val="en-US" w:eastAsia="zh-CN"/>
              </w:rPr>
              <w:t>2023</w:t>
            </w:r>
            <w:r>
              <w:rPr>
                <w:rFonts w:hint="eastAsia" w:ascii="Times New Roman" w:hAnsi="Times New Roman" w:eastAsia="宋体" w:cs="Times New Roman"/>
                <w:kern w:val="0"/>
                <w:sz w:val="24"/>
                <w:u w:val="none"/>
                <w:lang w:val="en-US" w:eastAsia="zh-CN"/>
              </w:rPr>
              <w:t>年）的通知》（柳环规〔</w:t>
            </w:r>
            <w:r>
              <w:rPr>
                <w:rFonts w:hint="default" w:ascii="Times New Roman" w:hAnsi="Times New Roman" w:eastAsia="宋体" w:cs="Times New Roman"/>
                <w:kern w:val="0"/>
                <w:sz w:val="24"/>
                <w:u w:val="none"/>
                <w:lang w:val="en-US" w:eastAsia="zh-CN"/>
              </w:rPr>
              <w:t>2024〕1号</w:t>
            </w:r>
            <w:r>
              <w:rPr>
                <w:rFonts w:hint="eastAsia" w:ascii="Times New Roman" w:hAnsi="Times New Roman" w:eastAsia="宋体" w:cs="Times New Roman"/>
                <w:kern w:val="0"/>
                <w:sz w:val="24"/>
                <w:u w:val="none"/>
                <w:lang w:val="en-US" w:eastAsia="zh-CN"/>
              </w:rPr>
              <w:t>）中环境分区管控要求</w:t>
            </w:r>
            <w:r>
              <w:rPr>
                <w:rFonts w:hint="eastAsia"/>
                <w:sz w:val="24"/>
                <w:u w:val="none"/>
              </w:rPr>
              <w:t>。</w:t>
            </w:r>
          </w:p>
          <w:p w14:paraId="32E48726">
            <w:pPr>
              <w:autoSpaceDE w:val="0"/>
              <w:autoSpaceDN w:val="0"/>
              <w:adjustRightInd w:val="0"/>
              <w:snapToGrid w:val="0"/>
              <w:spacing w:line="360" w:lineRule="auto"/>
              <w:ind w:firstLine="482" w:firstLineChars="200"/>
              <w:rPr>
                <w:rFonts w:hint="eastAsia" w:eastAsia="宋体"/>
                <w:b/>
                <w:bCs/>
                <w:sz w:val="24"/>
                <w:highlight w:val="magenta"/>
                <w:u w:val="none"/>
                <w:lang w:eastAsia="zh-CN"/>
              </w:rPr>
            </w:pPr>
            <w:r>
              <w:rPr>
                <w:rFonts w:hint="eastAsia"/>
                <w:b/>
                <w:bCs/>
                <w:sz w:val="24"/>
                <w:u w:val="none"/>
                <w:lang w:val="en-US" w:eastAsia="zh-CN"/>
              </w:rPr>
              <w:t>3、</w:t>
            </w:r>
            <w:r>
              <w:rPr>
                <w:rFonts w:hint="eastAsia"/>
                <w:b/>
                <w:bCs/>
                <w:sz w:val="24"/>
                <w:highlight w:val="none"/>
                <w:u w:val="none"/>
              </w:rPr>
              <w:t>与《输变电建设项目环境保</w:t>
            </w:r>
            <w:r>
              <w:rPr>
                <w:rFonts w:hint="eastAsia"/>
                <w:b/>
                <w:bCs/>
                <w:sz w:val="24"/>
                <w:highlight w:val="none"/>
                <w:u w:val="none"/>
                <w:lang w:val="en-US" w:eastAsia="zh-CN"/>
              </w:rPr>
              <w:t>护</w:t>
            </w:r>
            <w:r>
              <w:rPr>
                <w:rFonts w:hint="eastAsia"/>
                <w:b/>
                <w:bCs/>
                <w:sz w:val="24"/>
                <w:highlight w:val="none"/>
                <w:u w:val="none"/>
              </w:rPr>
              <w:t>技术要求》（HJ1113-2020）相符性分析</w:t>
            </w:r>
          </w:p>
          <w:p w14:paraId="3C0BBFF4">
            <w:pPr>
              <w:autoSpaceDE w:val="0"/>
              <w:autoSpaceDN w:val="0"/>
              <w:adjustRightInd w:val="0"/>
              <w:snapToGrid w:val="0"/>
              <w:spacing w:line="360" w:lineRule="auto"/>
              <w:ind w:firstLine="480" w:firstLineChars="200"/>
              <w:rPr>
                <w:sz w:val="24"/>
                <w:u w:val="none"/>
              </w:rPr>
            </w:pPr>
            <w:r>
              <w:rPr>
                <w:rFonts w:hint="eastAsia"/>
                <w:sz w:val="24"/>
                <w:u w:val="none"/>
              </w:rPr>
              <w:t>本项目与《输变电建设项目环境保</w:t>
            </w:r>
            <w:r>
              <w:rPr>
                <w:rFonts w:hint="eastAsia"/>
                <w:sz w:val="24"/>
                <w:u w:val="none"/>
                <w:lang w:val="en-US" w:eastAsia="zh-CN"/>
              </w:rPr>
              <w:t>护</w:t>
            </w:r>
            <w:r>
              <w:rPr>
                <w:rFonts w:hint="eastAsia"/>
                <w:sz w:val="24"/>
                <w:u w:val="none"/>
              </w:rPr>
              <w:t>技术要求》（HJ1113-2020）相符性分析见表1-</w:t>
            </w:r>
            <w:r>
              <w:rPr>
                <w:rFonts w:hint="eastAsia"/>
                <w:sz w:val="24"/>
                <w:u w:val="none"/>
                <w:lang w:val="en-US" w:eastAsia="zh-CN"/>
              </w:rPr>
              <w:t>2</w:t>
            </w:r>
            <w:r>
              <w:rPr>
                <w:rFonts w:hint="eastAsia"/>
                <w:sz w:val="24"/>
                <w:u w:val="none"/>
              </w:rPr>
              <w:t>。</w:t>
            </w:r>
          </w:p>
          <w:p w14:paraId="25B2A155">
            <w:pPr>
              <w:pStyle w:val="7"/>
              <w:keepNext/>
              <w:jc w:val="center"/>
              <w:rPr>
                <w:rFonts w:ascii="Times New Roman" w:hAnsi="Times New Roman" w:eastAsia="宋体"/>
                <w:b/>
                <w:bCs/>
                <w:sz w:val="21"/>
                <w:szCs w:val="21"/>
                <w:u w:val="none"/>
              </w:rPr>
            </w:pPr>
            <w:r>
              <w:rPr>
                <w:rFonts w:ascii="Times New Roman" w:hAnsi="Times New Roman" w:eastAsia="宋体"/>
                <w:b/>
                <w:bCs/>
                <w:sz w:val="21"/>
                <w:szCs w:val="21"/>
                <w:u w:val="none"/>
              </w:rPr>
              <w:t>表1-</w:t>
            </w:r>
            <w:r>
              <w:rPr>
                <w:rFonts w:hint="eastAsia" w:ascii="Times New Roman" w:hAnsi="Times New Roman" w:eastAsia="宋体"/>
                <w:b/>
                <w:bCs/>
                <w:sz w:val="21"/>
                <w:szCs w:val="21"/>
                <w:u w:val="none"/>
                <w:lang w:val="en-US" w:eastAsia="zh-CN"/>
              </w:rPr>
              <w:t>2</w:t>
            </w:r>
            <w:r>
              <w:rPr>
                <w:rFonts w:ascii="Times New Roman" w:hAnsi="Times New Roman" w:eastAsia="宋体"/>
                <w:b/>
                <w:bCs/>
                <w:sz w:val="21"/>
                <w:szCs w:val="21"/>
                <w:u w:val="none"/>
              </w:rPr>
              <w:t>项目与</w:t>
            </w:r>
            <w:r>
              <w:rPr>
                <w:rFonts w:hint="eastAsia" w:ascii="Times New Roman" w:hAnsi="Times New Roman" w:eastAsia="宋体"/>
                <w:b/>
                <w:bCs/>
                <w:sz w:val="21"/>
                <w:szCs w:val="21"/>
                <w:u w:val="none"/>
              </w:rPr>
              <w:t>《输变电建设项目环境保技术要求》（HJ1113-2020）</w:t>
            </w:r>
            <w:r>
              <w:rPr>
                <w:rFonts w:ascii="Times New Roman" w:hAnsi="Times New Roman" w:eastAsia="宋体"/>
                <w:b/>
                <w:bCs/>
                <w:sz w:val="21"/>
                <w:szCs w:val="21"/>
                <w:u w:val="none"/>
              </w:rPr>
              <w:t>相符性分析</w:t>
            </w:r>
            <w:r>
              <w:rPr>
                <w:rFonts w:hint="eastAsia" w:ascii="Times New Roman" w:hAnsi="Times New Roman" w:eastAsia="宋体"/>
                <w:b/>
                <w:bCs/>
                <w:sz w:val="21"/>
                <w:szCs w:val="21"/>
                <w:u w:val="none"/>
              </w:rPr>
              <w:t>表</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5"/>
              <w:gridCol w:w="479"/>
              <w:gridCol w:w="559"/>
              <w:gridCol w:w="2398"/>
              <w:gridCol w:w="2530"/>
              <w:gridCol w:w="719"/>
            </w:tblGrid>
            <w:tr w14:paraId="3A53A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Align w:val="center"/>
                </w:tcPr>
                <w:p w14:paraId="538147DA">
                  <w:pPr>
                    <w:pStyle w:val="28"/>
                    <w:numPr>
                      <w:ilvl w:val="0"/>
                      <w:numId w:val="0"/>
                    </w:numPr>
                    <w:ind w:left="0" w:leftChars="0" w:firstLine="0" w:firstLineChars="0"/>
                    <w:jc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2"/>
                      <w:sz w:val="21"/>
                      <w:szCs w:val="21"/>
                      <w:highlight w:val="none"/>
                      <w:u w:val="none"/>
                      <w:lang w:val="en-US" w:eastAsia="zh-CN" w:bidi="ar-SA"/>
                    </w:rPr>
                    <w:t>序号</w:t>
                  </w:r>
                </w:p>
              </w:tc>
              <w:tc>
                <w:tcPr>
                  <w:tcW w:w="3241" w:type="dxa"/>
                  <w:gridSpan w:val="3"/>
                  <w:vAlign w:val="center"/>
                </w:tcPr>
                <w:p w14:paraId="0859C88B">
                  <w:pPr>
                    <w:pStyle w:val="28"/>
                    <w:numPr>
                      <w:ilvl w:val="0"/>
                      <w:numId w:val="0"/>
                    </w:numPr>
                    <w:ind w:left="0" w:leftChars="0" w:firstLine="0" w:firstLineChars="0"/>
                    <w:jc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2"/>
                      <w:sz w:val="21"/>
                      <w:szCs w:val="21"/>
                      <w:highlight w:val="none"/>
                      <w:u w:val="none"/>
                      <w:lang w:val="en-US" w:eastAsia="zh-CN" w:bidi="ar-SA"/>
                    </w:rPr>
                    <w:t>具体要求</w:t>
                  </w:r>
                </w:p>
              </w:tc>
              <w:tc>
                <w:tcPr>
                  <w:tcW w:w="2387" w:type="dxa"/>
                  <w:vAlign w:val="center"/>
                </w:tcPr>
                <w:p w14:paraId="0766E364">
                  <w:pPr>
                    <w:pStyle w:val="28"/>
                    <w:numPr>
                      <w:ilvl w:val="0"/>
                      <w:numId w:val="0"/>
                    </w:numPr>
                    <w:ind w:left="0" w:leftChars="0" w:firstLine="0" w:firstLineChars="0"/>
                    <w:jc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2"/>
                      <w:sz w:val="21"/>
                      <w:szCs w:val="21"/>
                      <w:highlight w:val="none"/>
                      <w:u w:val="none"/>
                      <w:lang w:val="en-US" w:eastAsia="zh-CN" w:bidi="ar-SA"/>
                    </w:rPr>
                    <w:t>本项目情况</w:t>
                  </w:r>
                </w:p>
              </w:tc>
              <w:tc>
                <w:tcPr>
                  <w:tcW w:w="679" w:type="dxa"/>
                  <w:vAlign w:val="center"/>
                </w:tcPr>
                <w:p w14:paraId="7428DB4A">
                  <w:pPr>
                    <w:pStyle w:val="28"/>
                    <w:numPr>
                      <w:ilvl w:val="0"/>
                      <w:numId w:val="0"/>
                    </w:numPr>
                    <w:ind w:left="0" w:leftChars="0" w:firstLine="0" w:firstLineChars="0"/>
                    <w:jc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2"/>
                      <w:sz w:val="21"/>
                      <w:szCs w:val="21"/>
                      <w:highlight w:val="none"/>
                      <w:u w:val="none"/>
                      <w:lang w:val="en-US" w:eastAsia="zh-CN" w:bidi="ar-SA"/>
                    </w:rPr>
                    <w:t>相符性</w:t>
                  </w:r>
                </w:p>
              </w:tc>
            </w:tr>
            <w:tr w14:paraId="409E2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restart"/>
                  <w:vAlign w:val="center"/>
                </w:tcPr>
                <w:p w14:paraId="7252F50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1</w:t>
                  </w:r>
                </w:p>
              </w:tc>
              <w:tc>
                <w:tcPr>
                  <w:tcW w:w="452" w:type="dxa"/>
                  <w:vMerge w:val="restart"/>
                  <w:vAlign w:val="center"/>
                </w:tcPr>
                <w:p w14:paraId="1AECD91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选址选线</w:t>
                  </w:r>
                </w:p>
              </w:tc>
              <w:tc>
                <w:tcPr>
                  <w:tcW w:w="2789" w:type="dxa"/>
                  <w:gridSpan w:val="2"/>
                  <w:vAlign w:val="center"/>
                </w:tcPr>
                <w:p w14:paraId="6D72322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工程选址选线应符合规划环境影响评价文件的要求。</w:t>
                  </w:r>
                </w:p>
              </w:tc>
              <w:tc>
                <w:tcPr>
                  <w:tcW w:w="2387" w:type="dxa"/>
                  <w:vAlign w:val="center"/>
                </w:tcPr>
                <w:p w14:paraId="3F5F7DD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本工程位于广西壮族自治区柳州市</w:t>
                  </w:r>
                  <w:r>
                    <w:rPr>
                      <w:rFonts w:hint="default" w:ascii="Times New Roman" w:hAnsi="Times New Roman" w:cs="Times New Roman"/>
                      <w:color w:val="auto"/>
                      <w:kern w:val="2"/>
                      <w:sz w:val="21"/>
                      <w:szCs w:val="21"/>
                      <w:highlight w:val="none"/>
                      <w:u w:val="none"/>
                      <w:lang w:val="en-US" w:eastAsia="zh-CN" w:bidi="ar-SA"/>
                    </w:rPr>
                    <w:t>阳和工业新区</w:t>
                  </w:r>
                  <w:r>
                    <w:rPr>
                      <w:rFonts w:hint="default" w:ascii="Times New Roman" w:hAnsi="Times New Roman" w:eastAsia="宋体" w:cs="Times New Roman"/>
                      <w:color w:val="auto"/>
                      <w:kern w:val="2"/>
                      <w:sz w:val="21"/>
                      <w:szCs w:val="21"/>
                      <w:highlight w:val="none"/>
                      <w:u w:val="none"/>
                      <w:lang w:val="en-US" w:eastAsia="zh-CN" w:bidi="ar-SA"/>
                    </w:rPr>
                    <w:t>，</w:t>
                  </w:r>
                  <w:r>
                    <w:rPr>
                      <w:rFonts w:hint="default" w:ascii="Times New Roman" w:hAnsi="Times New Roman" w:cs="Times New Roman"/>
                      <w:color w:val="auto"/>
                      <w:kern w:val="2"/>
                      <w:sz w:val="21"/>
                      <w:szCs w:val="21"/>
                      <w:highlight w:val="none"/>
                      <w:u w:val="none"/>
                      <w:lang w:val="en-US" w:eastAsia="zh-CN" w:bidi="ar-SA"/>
                    </w:rPr>
                    <w:t>符合《阳和工业新区产业发展规划（2021-2025年）环境影响报告书》</w:t>
                  </w:r>
                  <w:r>
                    <w:rPr>
                      <w:rFonts w:hint="default" w:ascii="Times New Roman" w:hAnsi="Times New Roman" w:eastAsia="宋体" w:cs="Times New Roman"/>
                      <w:sz w:val="21"/>
                      <w:szCs w:val="21"/>
                      <w:u w:val="none"/>
                      <w:lang w:val="en-US" w:eastAsia="zh-CN"/>
                    </w:rPr>
                    <w:t>相关要求</w:t>
                  </w:r>
                  <w:r>
                    <w:rPr>
                      <w:rFonts w:hint="eastAsia" w:ascii="Times New Roman" w:hAnsi="Times New Roman" w:eastAsia="宋体" w:cs="Times New Roman"/>
                      <w:sz w:val="21"/>
                      <w:szCs w:val="21"/>
                      <w:u w:val="none"/>
                      <w:lang w:val="en-US" w:eastAsia="zh-CN"/>
                    </w:rPr>
                    <w:t>。</w:t>
                  </w:r>
                  <w:r>
                    <w:rPr>
                      <w:rFonts w:hint="default" w:ascii="Times New Roman" w:hAnsi="Times New Roman" w:eastAsia="宋体" w:cs="Times New Roman"/>
                      <w:color w:val="auto"/>
                      <w:kern w:val="2"/>
                      <w:sz w:val="21"/>
                      <w:szCs w:val="21"/>
                      <w:highlight w:val="none"/>
                      <w:u w:val="none"/>
                      <w:lang w:val="en-US" w:eastAsia="zh-CN" w:bidi="ar-SA"/>
                    </w:rPr>
                    <w:t>扩建工程均在站内区域进行，不涉及新增用地。</w:t>
                  </w:r>
                </w:p>
              </w:tc>
              <w:tc>
                <w:tcPr>
                  <w:tcW w:w="679" w:type="dxa"/>
                  <w:vAlign w:val="center"/>
                </w:tcPr>
                <w:p w14:paraId="30E532C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1AB40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7489096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7AAC8E4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789" w:type="dxa"/>
                  <w:gridSpan w:val="2"/>
                  <w:vAlign w:val="center"/>
                </w:tcPr>
                <w:p w14:paraId="7415729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选址选线应符合生态保护红线管控要求，避让自然保护区、饮用水水源保护区等环境敏感区。确实因自然条件等因素限制无法避让自然保护区实验区、饮用水水源二级保护区等环境敏感区的输电线路，应在满足相关法律法规及管理要求的前提下对线路方案进行唯一性论证，并采取无害化方式通过。</w:t>
                  </w:r>
                </w:p>
              </w:tc>
              <w:tc>
                <w:tcPr>
                  <w:tcW w:w="2387" w:type="dxa"/>
                  <w:vAlign w:val="center"/>
                </w:tcPr>
                <w:p w14:paraId="3DAF815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本项目站址</w:t>
                  </w:r>
                  <w:r>
                    <w:rPr>
                      <w:rFonts w:hint="default" w:ascii="Times New Roman" w:hAnsi="Times New Roman" w:cs="Times New Roman"/>
                      <w:color w:val="auto"/>
                      <w:kern w:val="2"/>
                      <w:sz w:val="21"/>
                      <w:szCs w:val="21"/>
                      <w:highlight w:val="none"/>
                      <w:u w:val="none"/>
                      <w:lang w:val="en-US" w:eastAsia="zh-CN" w:bidi="ar-SA"/>
                    </w:rPr>
                    <w:t>位于阳和工业新区，已取得用地预审和不动产权证书</w:t>
                  </w:r>
                  <w:r>
                    <w:rPr>
                      <w:rFonts w:hint="default" w:ascii="Times New Roman" w:hAnsi="Times New Roman" w:eastAsia="宋体" w:cs="Times New Roman"/>
                      <w:color w:val="auto"/>
                      <w:kern w:val="2"/>
                      <w:sz w:val="21"/>
                      <w:szCs w:val="21"/>
                      <w:highlight w:val="none"/>
                      <w:u w:val="none"/>
                      <w:lang w:val="en-US" w:eastAsia="zh-CN" w:bidi="ar-SA"/>
                    </w:rPr>
                    <w:t>，本项目在原站址内扩建，不新增占地，不涉及让自然保护区、饮用水水源保护区等环境敏感区。</w:t>
                  </w:r>
                </w:p>
              </w:tc>
              <w:tc>
                <w:tcPr>
                  <w:tcW w:w="679" w:type="dxa"/>
                  <w:vAlign w:val="center"/>
                </w:tcPr>
                <w:p w14:paraId="3C588A3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BDBC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3" w:hRule="atLeast"/>
                <w:jc w:val="center"/>
              </w:trPr>
              <w:tc>
                <w:tcPr>
                  <w:tcW w:w="468" w:type="dxa"/>
                  <w:vMerge w:val="continue"/>
                  <w:vAlign w:val="center"/>
                </w:tcPr>
                <w:p w14:paraId="49BF6A4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1745E73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789" w:type="dxa"/>
                  <w:gridSpan w:val="2"/>
                  <w:vAlign w:val="center"/>
                </w:tcPr>
                <w:p w14:paraId="66380DA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变电工程在选址时应按终期规模综合考虑进出线走廊规划，避免进出线进入自然保护区、饮用水水源保护区等环境敏感区。</w:t>
                  </w:r>
                </w:p>
              </w:tc>
              <w:tc>
                <w:tcPr>
                  <w:tcW w:w="2387" w:type="dxa"/>
                  <w:vAlign w:val="center"/>
                </w:tcPr>
                <w:p w14:paraId="4641AAD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本项目站址</w:t>
                  </w:r>
                  <w:r>
                    <w:rPr>
                      <w:rFonts w:hint="default" w:ascii="Times New Roman" w:hAnsi="Times New Roman" w:cs="Times New Roman"/>
                      <w:color w:val="auto"/>
                      <w:kern w:val="2"/>
                      <w:sz w:val="21"/>
                      <w:szCs w:val="21"/>
                      <w:highlight w:val="none"/>
                      <w:u w:val="none"/>
                      <w:lang w:val="en-US" w:eastAsia="zh-CN" w:bidi="ar-SA"/>
                    </w:rPr>
                    <w:t>位于阳和工业新区，已取得用地预审和不动产权证书</w:t>
                  </w:r>
                  <w:r>
                    <w:rPr>
                      <w:rFonts w:hint="default" w:ascii="Times New Roman" w:hAnsi="Times New Roman" w:eastAsia="宋体" w:cs="Times New Roman"/>
                      <w:color w:val="auto"/>
                      <w:kern w:val="2"/>
                      <w:sz w:val="21"/>
                      <w:szCs w:val="21"/>
                      <w:highlight w:val="none"/>
                      <w:u w:val="none"/>
                      <w:lang w:val="en-US" w:eastAsia="zh-CN" w:bidi="ar-SA"/>
                    </w:rPr>
                    <w:t>，本项目在原站址内扩建，不新增占地，选址已避让自然保护区、饮用水水源保护区等环境敏感区。</w:t>
                  </w:r>
                </w:p>
              </w:tc>
              <w:tc>
                <w:tcPr>
                  <w:tcW w:w="679" w:type="dxa"/>
                  <w:vAlign w:val="center"/>
                </w:tcPr>
                <w:p w14:paraId="1A655F0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B324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6DEFD5F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1F2AEFF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789" w:type="dxa"/>
                  <w:gridSpan w:val="2"/>
                  <w:vAlign w:val="center"/>
                </w:tcPr>
                <w:p w14:paraId="572809E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户外变电工程及规划架空进出线选址选线时，应关注以居住、医疗卫生、文化教育、科研、行政办公等为主要功能的区域，采取综合措施，减少电磁和声环境影响。</w:t>
                  </w:r>
                </w:p>
              </w:tc>
              <w:tc>
                <w:tcPr>
                  <w:tcW w:w="2387" w:type="dxa"/>
                  <w:vAlign w:val="center"/>
                </w:tcPr>
                <w:p w14:paraId="73B777C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根据本项目属扩建项目，不涉及选址。</w:t>
                  </w:r>
                </w:p>
              </w:tc>
              <w:tc>
                <w:tcPr>
                  <w:tcW w:w="679" w:type="dxa"/>
                  <w:vAlign w:val="center"/>
                </w:tcPr>
                <w:p w14:paraId="55AA023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2F1E7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EBF8C7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700AE07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789" w:type="dxa"/>
                  <w:gridSpan w:val="2"/>
                  <w:vAlign w:val="center"/>
                </w:tcPr>
                <w:p w14:paraId="52AD344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输电线路宜避让集中林区，以减少林木砍伐，保护生态环境。</w:t>
                  </w:r>
                </w:p>
              </w:tc>
              <w:tc>
                <w:tcPr>
                  <w:tcW w:w="2387" w:type="dxa"/>
                  <w:vAlign w:val="center"/>
                </w:tcPr>
                <w:p w14:paraId="4B1595A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本项目是果山站主变扩建工程，不涉及输电线路。</w:t>
                  </w:r>
                </w:p>
              </w:tc>
              <w:tc>
                <w:tcPr>
                  <w:tcW w:w="679" w:type="dxa"/>
                  <w:vAlign w:val="center"/>
                </w:tcPr>
                <w:p w14:paraId="3E08E30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4E525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0CEEA2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1887324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789" w:type="dxa"/>
                  <w:gridSpan w:val="2"/>
                  <w:vAlign w:val="center"/>
                </w:tcPr>
                <w:p w14:paraId="465F565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进入自然保护区的输电线路，应按照HJ19的要求开展生态现状调查，避让保护对象的集中分布区。</w:t>
                  </w:r>
                </w:p>
              </w:tc>
              <w:tc>
                <w:tcPr>
                  <w:tcW w:w="2387" w:type="dxa"/>
                  <w:vAlign w:val="center"/>
                </w:tcPr>
                <w:p w14:paraId="1C1EB92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本项目不涉及自然保护区。</w:t>
                  </w:r>
                </w:p>
              </w:tc>
              <w:tc>
                <w:tcPr>
                  <w:tcW w:w="679" w:type="dxa"/>
                  <w:vAlign w:val="center"/>
                </w:tcPr>
                <w:p w14:paraId="6400E69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16874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restart"/>
                  <w:vAlign w:val="center"/>
                </w:tcPr>
                <w:p w14:paraId="5FE6CC9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2</w:t>
                  </w:r>
                </w:p>
              </w:tc>
              <w:tc>
                <w:tcPr>
                  <w:tcW w:w="452" w:type="dxa"/>
                  <w:vMerge w:val="restart"/>
                  <w:vAlign w:val="center"/>
                </w:tcPr>
                <w:p w14:paraId="0454A21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设计</w:t>
                  </w:r>
                </w:p>
              </w:tc>
              <w:tc>
                <w:tcPr>
                  <w:tcW w:w="527" w:type="dxa"/>
                  <w:vMerge w:val="restart"/>
                  <w:vAlign w:val="center"/>
                </w:tcPr>
                <w:p w14:paraId="70DF177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总体要求</w:t>
                  </w:r>
                </w:p>
              </w:tc>
              <w:tc>
                <w:tcPr>
                  <w:tcW w:w="2262" w:type="dxa"/>
                  <w:vAlign w:val="center"/>
                </w:tcPr>
                <w:p w14:paraId="5277262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输变电建设项目的初步设计、施工图设计文件中应包含相关的环境保护内容，编制环境保护篇章、开展环境保护专项设计，落实防治环境污染和生态破坏的措施、设施及相应资金。</w:t>
                  </w:r>
                </w:p>
              </w:tc>
              <w:tc>
                <w:tcPr>
                  <w:tcW w:w="2387" w:type="dxa"/>
                  <w:vAlign w:val="center"/>
                </w:tcPr>
                <w:p w14:paraId="72A7109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本项目设计文件中包含了环境保护内容并提出了相关环境保护措施，落实防治环境污染和生态破坏的措施、设施及相应资金。</w:t>
                  </w:r>
                </w:p>
              </w:tc>
              <w:tc>
                <w:tcPr>
                  <w:tcW w:w="679" w:type="dxa"/>
                  <w:vAlign w:val="center"/>
                </w:tcPr>
                <w:p w14:paraId="661EA71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2B26F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280CDE0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6CA8E9B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2720B12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4705496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输电线路进入自然保护区实验区、饮用水水源二级保护区等环境敏感区时，应采取塔基定位避让、减少进入长度、控制导线高度等环境保护措施，减少对环境保护对象的不利影响。</w:t>
                  </w:r>
                </w:p>
              </w:tc>
              <w:tc>
                <w:tcPr>
                  <w:tcW w:w="2387" w:type="dxa"/>
                  <w:vAlign w:val="center"/>
                </w:tcPr>
                <w:p w14:paraId="61AFB8E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本项目不涉及自然保护区、饮用水水源保护区等环境敏感区。</w:t>
                  </w:r>
                </w:p>
              </w:tc>
              <w:tc>
                <w:tcPr>
                  <w:tcW w:w="679" w:type="dxa"/>
                  <w:vAlign w:val="center"/>
                </w:tcPr>
                <w:p w14:paraId="411A86B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70CA6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21B794F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8D3AD3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395A0C8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23FF5E3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变电工程应设置足够容量的事故油池及其配套的拦截、防雨、防渗等措施和设施。一旦发生泄露，应能及时进行拦截和处理，确保油和油水混合物全部收集、不外排。</w:t>
                  </w:r>
                </w:p>
              </w:tc>
              <w:tc>
                <w:tcPr>
                  <w:tcW w:w="2387" w:type="dxa"/>
                  <w:vAlign w:val="center"/>
                </w:tcPr>
                <w:p w14:paraId="03C52EA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本项目扩建依托果山站原有事故油池，容积为65.0m³，满足事故泄漏油品收集要求</w:t>
                  </w:r>
                  <w:r>
                    <w:rPr>
                      <w:rFonts w:hint="default" w:ascii="Times New Roman" w:hAnsi="Times New Roman" w:cs="Times New Roman"/>
                      <w:color w:val="auto"/>
                      <w:kern w:val="2"/>
                      <w:sz w:val="21"/>
                      <w:szCs w:val="21"/>
                      <w:highlight w:val="none"/>
                      <w:u w:val="none"/>
                      <w:lang w:val="en-US" w:eastAsia="zh-CN" w:bidi="ar-SA"/>
                    </w:rPr>
                    <w:t>（详见4.10节）</w:t>
                  </w:r>
                  <w:r>
                    <w:rPr>
                      <w:rFonts w:hint="default" w:ascii="Times New Roman" w:hAnsi="Times New Roman" w:eastAsia="宋体" w:cs="Times New Roman"/>
                      <w:color w:val="auto"/>
                      <w:kern w:val="2"/>
                      <w:sz w:val="21"/>
                      <w:szCs w:val="21"/>
                      <w:highlight w:val="none"/>
                      <w:u w:val="none"/>
                      <w:lang w:val="en-US" w:eastAsia="zh-CN" w:bidi="ar-SA"/>
                    </w:rPr>
                    <w:t>。</w:t>
                  </w:r>
                </w:p>
              </w:tc>
              <w:tc>
                <w:tcPr>
                  <w:tcW w:w="679" w:type="dxa"/>
                  <w:vAlign w:val="center"/>
                </w:tcPr>
                <w:p w14:paraId="3BE8641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1E6C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6A887E5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4F28AE1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3733D00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电磁环境保护</w:t>
                  </w:r>
                </w:p>
              </w:tc>
              <w:tc>
                <w:tcPr>
                  <w:tcW w:w="2262" w:type="dxa"/>
                  <w:vAlign w:val="center"/>
                </w:tcPr>
                <w:p w14:paraId="72C898B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输电线路设计应因地制宜选择线路型式、架设高度、杆塔塔型、导线参数、相序布置等，减少电磁环境影响。</w:t>
                  </w:r>
                </w:p>
              </w:tc>
              <w:tc>
                <w:tcPr>
                  <w:tcW w:w="2387" w:type="dxa"/>
                  <w:vAlign w:val="center"/>
                </w:tcPr>
                <w:p w14:paraId="41C92FF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本项目不涉及输电线路。</w:t>
                  </w:r>
                </w:p>
              </w:tc>
              <w:tc>
                <w:tcPr>
                  <w:tcW w:w="679" w:type="dxa"/>
                  <w:vAlign w:val="center"/>
                </w:tcPr>
                <w:p w14:paraId="6FA5001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5CB28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02CC17F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0D83FFC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7C24DA3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50DE5F8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架空输电线路经过电磁环境敏感目标时，应采取避让或增加导线对地高度等措施，减少电磁环境影响。</w:t>
                  </w:r>
                </w:p>
              </w:tc>
              <w:tc>
                <w:tcPr>
                  <w:tcW w:w="2387" w:type="dxa"/>
                  <w:vAlign w:val="center"/>
                </w:tcPr>
                <w:p w14:paraId="62AB9F5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本项目不涉及输电线路。</w:t>
                  </w:r>
                </w:p>
              </w:tc>
              <w:tc>
                <w:tcPr>
                  <w:tcW w:w="679" w:type="dxa"/>
                  <w:vAlign w:val="center"/>
                </w:tcPr>
                <w:p w14:paraId="63B61A7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27698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8D22C9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5FAED06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011C607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生态环境保护</w:t>
                  </w:r>
                </w:p>
              </w:tc>
              <w:tc>
                <w:tcPr>
                  <w:tcW w:w="2262" w:type="dxa"/>
                  <w:vAlign w:val="center"/>
                </w:tcPr>
                <w:p w14:paraId="2727B62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输变电建设项目在设计过程中应按照避让、减缓、恢复的次序提出生态影响防护与恢复的措施。</w:t>
                  </w:r>
                </w:p>
              </w:tc>
              <w:tc>
                <w:tcPr>
                  <w:tcW w:w="2387" w:type="dxa"/>
                  <w:vAlign w:val="center"/>
                </w:tcPr>
                <w:p w14:paraId="69631DE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本项目设计阶段提出了生态影响防护与恢复的措施。</w:t>
                  </w:r>
                </w:p>
              </w:tc>
              <w:tc>
                <w:tcPr>
                  <w:tcW w:w="679" w:type="dxa"/>
                  <w:vAlign w:val="center"/>
                </w:tcPr>
                <w:p w14:paraId="1447010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7DC01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2893DE8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142C631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0AEA9DB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2CB74E9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输电线路应因地制宜合理选择塔基基础，在山丘区应采用全方位长短腿与不等高基础设计，以减少土石方开挖。输电线路无法避让集中林区时，应采取控制导线高度设计，以减少林木砍伐，保护生态环境。</w:t>
                  </w:r>
                </w:p>
              </w:tc>
              <w:tc>
                <w:tcPr>
                  <w:tcW w:w="2387" w:type="dxa"/>
                  <w:vAlign w:val="center"/>
                </w:tcPr>
                <w:p w14:paraId="49D0D75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本项目不涉及输电线路。</w:t>
                  </w:r>
                </w:p>
              </w:tc>
              <w:tc>
                <w:tcPr>
                  <w:tcW w:w="679" w:type="dxa"/>
                  <w:vAlign w:val="center"/>
                </w:tcPr>
                <w:p w14:paraId="149BEFC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35E8A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092ABEB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69F7515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345BB7C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0CA8243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输变电建设项目临时占地，应因地制宜进行土地功能恢复设计。</w:t>
                  </w:r>
                </w:p>
              </w:tc>
              <w:tc>
                <w:tcPr>
                  <w:tcW w:w="2387" w:type="dxa"/>
                  <w:vAlign w:val="center"/>
                </w:tcPr>
                <w:p w14:paraId="4538BDE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本项目提出了临时占地恢复措施，</w:t>
                  </w:r>
                  <w:r>
                    <w:rPr>
                      <w:rFonts w:hint="default" w:ascii="Times New Roman" w:hAnsi="Times New Roman" w:eastAsia="宋体" w:cs="Times New Roman"/>
                      <w:color w:val="auto"/>
                      <w:kern w:val="2"/>
                      <w:sz w:val="21"/>
                      <w:szCs w:val="21"/>
                      <w:highlight w:val="none"/>
                      <w:u w:val="none"/>
                      <w:lang w:val="zh-CN" w:eastAsia="zh-CN" w:bidi="ar-SA"/>
                    </w:rPr>
                    <w:t>工程在变电站围墙内预留空地进行改扩建，无需</w:t>
                  </w:r>
                  <w:r>
                    <w:rPr>
                      <w:rFonts w:hint="default" w:ascii="Times New Roman" w:hAnsi="Times New Roman" w:eastAsia="宋体" w:cs="Times New Roman"/>
                      <w:color w:val="auto"/>
                      <w:kern w:val="2"/>
                      <w:sz w:val="21"/>
                      <w:szCs w:val="21"/>
                      <w:highlight w:val="none"/>
                      <w:u w:val="none"/>
                      <w:lang w:val="en-US" w:eastAsia="zh-CN" w:bidi="ar-SA"/>
                    </w:rPr>
                    <w:t>新</w:t>
                  </w:r>
                  <w:r>
                    <w:rPr>
                      <w:rFonts w:hint="default" w:ascii="Times New Roman" w:hAnsi="Times New Roman" w:eastAsia="宋体" w:cs="Times New Roman"/>
                      <w:color w:val="auto"/>
                      <w:kern w:val="2"/>
                      <w:sz w:val="21"/>
                      <w:szCs w:val="21"/>
                      <w:highlight w:val="none"/>
                      <w:u w:val="none"/>
                      <w:lang w:val="zh-CN" w:eastAsia="zh-CN" w:bidi="ar-SA"/>
                    </w:rPr>
                    <w:t>征地</w:t>
                  </w:r>
                  <w:r>
                    <w:rPr>
                      <w:rFonts w:hint="default" w:ascii="Times New Roman" w:hAnsi="Times New Roman" w:eastAsia="宋体" w:cs="Times New Roman"/>
                      <w:color w:val="auto"/>
                      <w:kern w:val="2"/>
                      <w:sz w:val="21"/>
                      <w:szCs w:val="21"/>
                      <w:highlight w:val="none"/>
                      <w:u w:val="none"/>
                      <w:lang w:val="en-US" w:eastAsia="zh-CN" w:bidi="ar-SA"/>
                    </w:rPr>
                    <w:t>。施工结束后开展生态恢复工作。</w:t>
                  </w:r>
                </w:p>
              </w:tc>
              <w:tc>
                <w:tcPr>
                  <w:tcW w:w="679" w:type="dxa"/>
                  <w:vAlign w:val="center"/>
                </w:tcPr>
                <w:p w14:paraId="731AB31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E570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015F17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81DE3D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1C4111D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3899D6C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进入自然保护区的输电线路，应根据生态现状调查结果，制定相应的保护方案。塔基定位应避让珍稀濒危物种、保护植物和保护动物的栖息地，根据保护对象的特性设计相应的生态环境保护措施、设施等。</w:t>
                  </w:r>
                </w:p>
              </w:tc>
              <w:tc>
                <w:tcPr>
                  <w:tcW w:w="2387" w:type="dxa"/>
                  <w:vAlign w:val="center"/>
                </w:tcPr>
                <w:p w14:paraId="08F7737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本项目不涉及输电线路。</w:t>
                  </w:r>
                </w:p>
              </w:tc>
              <w:tc>
                <w:tcPr>
                  <w:tcW w:w="679" w:type="dxa"/>
                  <w:vAlign w:val="center"/>
                </w:tcPr>
                <w:p w14:paraId="3023EE3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41571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54A32A1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6170A2C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7BEDB45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声环境保护</w:t>
                  </w:r>
                </w:p>
              </w:tc>
              <w:tc>
                <w:tcPr>
                  <w:tcW w:w="2262" w:type="dxa"/>
                  <w:vAlign w:val="center"/>
                </w:tcPr>
                <w:p w14:paraId="210E773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变电工程噪声控制设计应首先从噪声源强上进行控制，选择低噪声设备；对于声源上无法根治的噪声，应采用隔声、吸声、消声、防振、减振等降噪措施，确保厂界排放噪声和周围声环境敏感目标分别满足GB12348和GB3096要求。</w:t>
                  </w:r>
                </w:p>
              </w:tc>
              <w:tc>
                <w:tcPr>
                  <w:tcW w:w="2387" w:type="dxa"/>
                  <w:vAlign w:val="center"/>
                </w:tcPr>
                <w:p w14:paraId="07D297E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本项目优先选用低噪声设备，采用隔声、减振等降噪措施，确保厂界排放噪声和周围声环境敏感目标满足GB12348和GB3096要求。</w:t>
                  </w:r>
                </w:p>
              </w:tc>
              <w:tc>
                <w:tcPr>
                  <w:tcW w:w="679" w:type="dxa"/>
                  <w:vAlign w:val="center"/>
                </w:tcPr>
                <w:p w14:paraId="1A43905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16630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3B20E5B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35DDE7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4DF2153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08AC19A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户外变电工程在设计过程中应进行平面布置优化，将主变压器、换流变压器、高压电抗器等主要声源设备布置在站址中央区域或远离站外声环境敏感目标侧的区域。</w:t>
                  </w:r>
                </w:p>
              </w:tc>
              <w:tc>
                <w:tcPr>
                  <w:tcW w:w="2387" w:type="dxa"/>
                  <w:vAlign w:val="center"/>
                </w:tcPr>
                <w:p w14:paraId="62D9F1B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本项目为户外变电站，本期工程将增加2#主变，扩建</w:t>
                  </w:r>
                  <w:r>
                    <w:rPr>
                      <w:rFonts w:hint="default" w:ascii="Times New Roman" w:hAnsi="Times New Roman" w:cs="Times New Roman"/>
                      <w:color w:val="auto"/>
                      <w:kern w:val="2"/>
                      <w:sz w:val="21"/>
                      <w:szCs w:val="21"/>
                      <w:highlight w:val="none"/>
                      <w:u w:val="none"/>
                      <w:lang w:val="en-US" w:eastAsia="zh-CN" w:bidi="ar-SA"/>
                    </w:rPr>
                    <w:t>果山</w:t>
                  </w:r>
                  <w:r>
                    <w:rPr>
                      <w:rFonts w:hint="default" w:ascii="Times New Roman" w:hAnsi="Times New Roman" w:eastAsia="宋体" w:cs="Times New Roman"/>
                      <w:color w:val="auto"/>
                      <w:kern w:val="2"/>
                      <w:sz w:val="21"/>
                      <w:szCs w:val="21"/>
                      <w:highlight w:val="none"/>
                      <w:u w:val="none"/>
                      <w:lang w:val="en-US" w:eastAsia="zh-CN" w:bidi="ar-SA"/>
                    </w:rPr>
                    <w:t>站在设计过程中进行了平面布置优化，主变压器等主要声源设备布置在站址中部。</w:t>
                  </w:r>
                </w:p>
              </w:tc>
              <w:tc>
                <w:tcPr>
                  <w:tcW w:w="679" w:type="dxa"/>
                  <w:vAlign w:val="center"/>
                </w:tcPr>
                <w:p w14:paraId="6028B6E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3C596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71B284B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0C124EE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7511DFC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09B339A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变电工程位于1类或周围噪声敏感建筑物较多的2类声环境功能区时，建设单位应严格控制主变压器、换流变压器、高压电抗器等主要噪声源的噪声水平，并在满足GB12348的基础上保留适当裕度。</w:t>
                  </w:r>
                </w:p>
              </w:tc>
              <w:tc>
                <w:tcPr>
                  <w:tcW w:w="2387" w:type="dxa"/>
                  <w:vAlign w:val="center"/>
                </w:tcPr>
                <w:p w14:paraId="05D791D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本项目扩建</w:t>
                  </w:r>
                  <w:r>
                    <w:rPr>
                      <w:rFonts w:hint="default" w:ascii="Times New Roman" w:hAnsi="Times New Roman" w:cs="Times New Roman"/>
                      <w:color w:val="auto"/>
                      <w:kern w:val="2"/>
                      <w:sz w:val="21"/>
                      <w:szCs w:val="21"/>
                      <w:highlight w:val="none"/>
                      <w:u w:val="none"/>
                      <w:lang w:val="en-US" w:eastAsia="zh-CN" w:bidi="ar-SA"/>
                    </w:rPr>
                    <w:t>果山</w:t>
                  </w:r>
                  <w:r>
                    <w:rPr>
                      <w:rFonts w:hint="default" w:ascii="Times New Roman" w:hAnsi="Times New Roman" w:eastAsia="宋体" w:cs="Times New Roman"/>
                      <w:color w:val="auto"/>
                      <w:kern w:val="2"/>
                      <w:sz w:val="21"/>
                      <w:szCs w:val="21"/>
                      <w:highlight w:val="none"/>
                      <w:u w:val="none"/>
                      <w:lang w:val="en-US" w:eastAsia="zh-CN" w:bidi="ar-SA"/>
                    </w:rPr>
                    <w:t>站在设计过程中进行了平面布置优化，主变压器等主要声源设备布置在站址中部，并采用隔声、减振等降噪措施，确保厂界排放噪声和周围声环境敏感目标分别满足GB12348和GB3096要求。</w:t>
                  </w:r>
                </w:p>
              </w:tc>
              <w:tc>
                <w:tcPr>
                  <w:tcW w:w="679" w:type="dxa"/>
                  <w:vAlign w:val="center"/>
                </w:tcPr>
                <w:p w14:paraId="35FFFC8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58C37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1E3BAD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5AFEBF3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Align w:val="center"/>
                </w:tcPr>
                <w:p w14:paraId="35FB7A9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水环境保护</w:t>
                  </w:r>
                </w:p>
              </w:tc>
              <w:tc>
                <w:tcPr>
                  <w:tcW w:w="2262" w:type="dxa"/>
                  <w:vAlign w:val="center"/>
                </w:tcPr>
                <w:p w14:paraId="5D32159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变电工程应采取节水措施，加强水的重复利用，减少废（污）水排放。</w:t>
                  </w:r>
                </w:p>
                <w:p w14:paraId="3310FA9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雨水和生活污水应采取分流制。</w:t>
                  </w:r>
                </w:p>
              </w:tc>
              <w:tc>
                <w:tcPr>
                  <w:tcW w:w="2387" w:type="dxa"/>
                  <w:vAlign w:val="center"/>
                </w:tcPr>
                <w:p w14:paraId="1B245DF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本项目扩建</w:t>
                  </w:r>
                  <w:r>
                    <w:rPr>
                      <w:rFonts w:hint="default" w:ascii="Times New Roman" w:hAnsi="Times New Roman" w:cs="Times New Roman"/>
                      <w:color w:val="auto"/>
                      <w:kern w:val="2"/>
                      <w:sz w:val="21"/>
                      <w:szCs w:val="21"/>
                      <w:highlight w:val="none"/>
                      <w:u w:val="none"/>
                      <w:lang w:val="en-US" w:eastAsia="zh-CN" w:bidi="ar-SA"/>
                    </w:rPr>
                    <w:t>果山</w:t>
                  </w:r>
                  <w:r>
                    <w:rPr>
                      <w:rFonts w:hint="default" w:ascii="Times New Roman" w:hAnsi="Times New Roman" w:eastAsia="宋体" w:cs="Times New Roman"/>
                      <w:color w:val="auto"/>
                      <w:kern w:val="2"/>
                      <w:sz w:val="21"/>
                      <w:szCs w:val="21"/>
                      <w:highlight w:val="none"/>
                      <w:u w:val="none"/>
                      <w:lang w:val="en-US" w:eastAsia="zh-CN" w:bidi="ar-SA"/>
                    </w:rPr>
                    <w:t>站采取依托站内现有排水系统。雨水和生活污水采取分流制</w:t>
                  </w:r>
                  <w:r>
                    <w:rPr>
                      <w:rFonts w:hint="default" w:ascii="Times New Roman" w:hAnsi="Times New Roman" w:cs="Times New Roman"/>
                      <w:color w:val="auto"/>
                      <w:kern w:val="2"/>
                      <w:sz w:val="21"/>
                      <w:szCs w:val="21"/>
                      <w:highlight w:val="none"/>
                      <w:u w:val="none"/>
                      <w:lang w:val="en-US" w:eastAsia="zh-CN" w:bidi="ar-SA"/>
                    </w:rPr>
                    <w:t>，生活污水经化粪池处理后用于站内绿化，不外排。</w:t>
                  </w:r>
                </w:p>
              </w:tc>
              <w:tc>
                <w:tcPr>
                  <w:tcW w:w="679" w:type="dxa"/>
                  <w:vAlign w:val="center"/>
                </w:tcPr>
                <w:p w14:paraId="6FC5019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C6B0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restart"/>
                  <w:vAlign w:val="center"/>
                </w:tcPr>
                <w:p w14:paraId="6CA176C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3</w:t>
                  </w:r>
                </w:p>
              </w:tc>
              <w:tc>
                <w:tcPr>
                  <w:tcW w:w="452" w:type="dxa"/>
                  <w:vMerge w:val="restart"/>
                  <w:vAlign w:val="center"/>
                </w:tcPr>
                <w:p w14:paraId="26EFEAB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w:t>
                  </w:r>
                </w:p>
              </w:tc>
              <w:tc>
                <w:tcPr>
                  <w:tcW w:w="527" w:type="dxa"/>
                  <w:vMerge w:val="restart"/>
                  <w:vAlign w:val="center"/>
                </w:tcPr>
                <w:p w14:paraId="017E182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总体要求</w:t>
                  </w:r>
                </w:p>
              </w:tc>
              <w:tc>
                <w:tcPr>
                  <w:tcW w:w="2262" w:type="dxa"/>
                  <w:vAlign w:val="center"/>
                </w:tcPr>
                <w:p w14:paraId="5583BAF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施工应落实设计文件、环境影响评价文件及其审批部门审批决定中提出的环境保护要求。设备采购和施工合同中应明确环境保护要求，环境保护措施的实施和环境保护设施的施工安装质量应符合设计和技术协议书、相关标准的要求。</w:t>
                  </w:r>
                </w:p>
              </w:tc>
              <w:tc>
                <w:tcPr>
                  <w:tcW w:w="2387" w:type="dxa"/>
                  <w:vAlign w:val="center"/>
                </w:tcPr>
                <w:p w14:paraId="7AA327D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本项目施工阶段按相关要求采取环境保护措施，将施工期对环境影响降到最低。</w:t>
                  </w:r>
                </w:p>
              </w:tc>
              <w:tc>
                <w:tcPr>
                  <w:tcW w:w="679" w:type="dxa"/>
                  <w:vAlign w:val="center"/>
                </w:tcPr>
                <w:p w14:paraId="3D41FCF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10744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143BA3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1DD5A4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15263E2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157D78C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进入自然保护区和饮用水水源保护区等环境敏感区的输电线路，建设单位应加强施工过程的管理，开展环境保护培训，明确保护对象和保护要求，严格控制施工影响范围，确定适宜的施工季节和施工方式，减少对环境保护对象的不利影响。</w:t>
                  </w:r>
                </w:p>
              </w:tc>
              <w:tc>
                <w:tcPr>
                  <w:tcW w:w="2387" w:type="dxa"/>
                  <w:vAlign w:val="center"/>
                </w:tcPr>
                <w:p w14:paraId="0C23B7C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本项目不涉及输电线路。</w:t>
                  </w:r>
                </w:p>
              </w:tc>
              <w:tc>
                <w:tcPr>
                  <w:tcW w:w="679" w:type="dxa"/>
                  <w:vAlign w:val="center"/>
                </w:tcPr>
                <w:p w14:paraId="14A3472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39EB2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C870E6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160DAD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50A08F5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生态环境保护</w:t>
                  </w:r>
                </w:p>
              </w:tc>
              <w:tc>
                <w:tcPr>
                  <w:tcW w:w="2262" w:type="dxa"/>
                  <w:vAlign w:val="center"/>
                </w:tcPr>
                <w:p w14:paraId="0678B0D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输变电建设项目施工期临时用地应永临结合，优先利用荒地、劣地。</w:t>
                  </w:r>
                </w:p>
              </w:tc>
              <w:tc>
                <w:tcPr>
                  <w:tcW w:w="2387" w:type="dxa"/>
                  <w:vAlign w:val="center"/>
                </w:tcPr>
                <w:p w14:paraId="1B07801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本项目施工期临时用地在站内，不新增临时占地。</w:t>
                  </w:r>
                </w:p>
              </w:tc>
              <w:tc>
                <w:tcPr>
                  <w:tcW w:w="679" w:type="dxa"/>
                  <w:vAlign w:val="center"/>
                </w:tcPr>
                <w:p w14:paraId="770FB11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B937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1B6CAF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6CA756F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4991C08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57533D0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输变电建设项目施工占用耕地、园地、林地和草地，应做好表土剥离、分类存放和回填利用。</w:t>
                  </w:r>
                </w:p>
              </w:tc>
              <w:tc>
                <w:tcPr>
                  <w:tcW w:w="2387" w:type="dxa"/>
                  <w:vAlign w:val="center"/>
                </w:tcPr>
                <w:p w14:paraId="7CD69F4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本项目临时用地在站内，不新增临时占地。</w:t>
                  </w:r>
                </w:p>
              </w:tc>
              <w:tc>
                <w:tcPr>
                  <w:tcW w:w="679" w:type="dxa"/>
                  <w:vAlign w:val="center"/>
                </w:tcPr>
                <w:p w14:paraId="57EF678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7118B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804D6E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551C0AA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28F0C22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5230833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施工临时道路应尽可能利用机耕路、林区小路等现有道路，新建道路应严格控制道路宽度，以减少临时工程对生态环境的影响。</w:t>
                  </w:r>
                </w:p>
              </w:tc>
              <w:tc>
                <w:tcPr>
                  <w:tcW w:w="2387" w:type="dxa"/>
                  <w:vAlign w:val="center"/>
                </w:tcPr>
                <w:p w14:paraId="09EBA7C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本项目不新建施工期临时道路。</w:t>
                  </w:r>
                </w:p>
              </w:tc>
              <w:tc>
                <w:tcPr>
                  <w:tcW w:w="679" w:type="dxa"/>
                  <w:vAlign w:val="center"/>
                </w:tcPr>
                <w:p w14:paraId="317E515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3F51D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35F8BFE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71B7B5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0560CA5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6C7CECE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施工现场使用带油料的机械器具，应采取措施防止油料跑、冒、滴、漏，防止对土壤和水体造成污染。</w:t>
                  </w:r>
                </w:p>
              </w:tc>
              <w:tc>
                <w:tcPr>
                  <w:tcW w:w="2387" w:type="dxa"/>
                  <w:vAlign w:val="center"/>
                </w:tcPr>
                <w:p w14:paraId="7096B04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本项目施工使用带油料的机械器具采取措施防止油料跑、冒、滴、漏。</w:t>
                  </w:r>
                </w:p>
              </w:tc>
              <w:tc>
                <w:tcPr>
                  <w:tcW w:w="679" w:type="dxa"/>
                  <w:vAlign w:val="center"/>
                </w:tcPr>
                <w:p w14:paraId="7587233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4E8FD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484D80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4ADC391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4083D06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505F7A5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施工结束后，应及时清理施工现场，因地制宜进行土地功能恢复。</w:t>
                  </w:r>
                </w:p>
              </w:tc>
              <w:tc>
                <w:tcPr>
                  <w:tcW w:w="2387" w:type="dxa"/>
                  <w:vAlign w:val="center"/>
                </w:tcPr>
                <w:p w14:paraId="0B8DCBF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本项目提出了临时占地恢复措施，施工结束后开展生态恢复工作。</w:t>
                  </w:r>
                </w:p>
              </w:tc>
              <w:tc>
                <w:tcPr>
                  <w:tcW w:w="679" w:type="dxa"/>
                  <w:vAlign w:val="center"/>
                </w:tcPr>
                <w:p w14:paraId="47F8111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2B91C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E5DF74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4C6296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783031A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水环境保护</w:t>
                  </w:r>
                </w:p>
              </w:tc>
              <w:tc>
                <w:tcPr>
                  <w:tcW w:w="2262" w:type="dxa"/>
                  <w:vAlign w:val="center"/>
                </w:tcPr>
                <w:p w14:paraId="3E3D42C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在饮用水水源保护区和其他水体保护区内或附近施工时，应加强管理，做好污水防治措施，确保水环境不受影响。</w:t>
                  </w:r>
                </w:p>
              </w:tc>
              <w:tc>
                <w:tcPr>
                  <w:tcW w:w="2387" w:type="dxa"/>
                  <w:vAlign w:val="center"/>
                </w:tcPr>
                <w:p w14:paraId="04FCF71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本项目不涉及饮用水水源保护区和其他水体保护区。</w:t>
                  </w:r>
                </w:p>
              </w:tc>
              <w:tc>
                <w:tcPr>
                  <w:tcW w:w="679" w:type="dxa"/>
                  <w:vAlign w:val="center"/>
                </w:tcPr>
                <w:p w14:paraId="1A7CD6E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2E2D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25FF11E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6D81132">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607DC8C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0B394C7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施工期间禁止向水体排放、倾倒垃圾、弃土、弃渣，禁止排放未经处理的钻浆等废弃物。</w:t>
                  </w:r>
                </w:p>
              </w:tc>
              <w:tc>
                <w:tcPr>
                  <w:tcW w:w="2387" w:type="dxa"/>
                  <w:vAlign w:val="center"/>
                </w:tcPr>
                <w:p w14:paraId="5403FA0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本项目施工期加强管理，禁止向水体排放、倾倒垃圾、弃土、弃渣等废弃物。</w:t>
                  </w:r>
                </w:p>
              </w:tc>
              <w:tc>
                <w:tcPr>
                  <w:tcW w:w="679" w:type="dxa"/>
                  <w:vAlign w:val="center"/>
                </w:tcPr>
                <w:p w14:paraId="4CF5025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00669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1C99423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0B9290E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7DFB6C3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大气环境保护</w:t>
                  </w:r>
                </w:p>
              </w:tc>
              <w:tc>
                <w:tcPr>
                  <w:tcW w:w="2262" w:type="dxa"/>
                  <w:vAlign w:val="center"/>
                </w:tcPr>
                <w:p w14:paraId="13F42DC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施工过程中，应当加强对施工现场和物料运输的管理，在施工工地设置硬质围挡，保持道路清洁，管控料堆和渣土堆放，防治扬尘污染。</w:t>
                  </w:r>
                </w:p>
              </w:tc>
              <w:tc>
                <w:tcPr>
                  <w:tcW w:w="2387" w:type="dxa"/>
                  <w:vAlign w:val="center"/>
                </w:tcPr>
                <w:p w14:paraId="4AC2355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本项目施工期加强管理，在施工工地设置硬质围挡，保持道路清洁，管控料堆和渣土堆放等。</w:t>
                  </w:r>
                </w:p>
              </w:tc>
              <w:tc>
                <w:tcPr>
                  <w:tcW w:w="679" w:type="dxa"/>
                  <w:vAlign w:val="center"/>
                </w:tcPr>
                <w:p w14:paraId="71ED3A1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431D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FF930F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3AD60F7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555F0A3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7FFA445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施工过程中，对易起尘的临时堆土、运输过程中的土石方等应采用密闭式防尘布（网）进行苫盖，施工面集中且有条件的地方宜采取洒水降尘等有效措施，减少易造成大气污染的施工作业。</w:t>
                  </w:r>
                </w:p>
              </w:tc>
              <w:tc>
                <w:tcPr>
                  <w:tcW w:w="2387" w:type="dxa"/>
                  <w:vAlign w:val="center"/>
                </w:tcPr>
                <w:p w14:paraId="28687BD8">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本项目施工期加强管理，对易起尘的临时堆土、运输过程中的土石方等采取密闭措施，施工面采取洒水降尘等措施。</w:t>
                  </w:r>
                </w:p>
              </w:tc>
              <w:tc>
                <w:tcPr>
                  <w:tcW w:w="679" w:type="dxa"/>
                  <w:vAlign w:val="center"/>
                </w:tcPr>
                <w:p w14:paraId="0D4D29B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587B2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5EB07F3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25E4AC4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36667B63">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633947E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施工过程中，建设单位应当对裸露地面进行覆盖；暂时不能开工的建设用地超过三个月的，应当进行绿化、铺装或者遮盖。</w:t>
                  </w:r>
                </w:p>
              </w:tc>
              <w:tc>
                <w:tcPr>
                  <w:tcW w:w="2387" w:type="dxa"/>
                  <w:vAlign w:val="center"/>
                </w:tcPr>
                <w:p w14:paraId="6361100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本项目施工期加强管理，对裸露地面进行覆盖。</w:t>
                  </w:r>
                </w:p>
              </w:tc>
              <w:tc>
                <w:tcPr>
                  <w:tcW w:w="679" w:type="dxa"/>
                  <w:vAlign w:val="center"/>
                </w:tcPr>
                <w:p w14:paraId="401C8DF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0E386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6FCF926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4976F93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4547AE7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3027EB3F">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施工现场禁止将包装物、可燃垃圾等固体废弃物就地焚烧。</w:t>
                  </w:r>
                </w:p>
              </w:tc>
              <w:tc>
                <w:tcPr>
                  <w:tcW w:w="2387" w:type="dxa"/>
                  <w:vAlign w:val="center"/>
                </w:tcPr>
                <w:p w14:paraId="546D55D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本项目施工期加强管理，禁止将包装物、可燃垃圾等固体废弃物就地焚烧。</w:t>
                  </w:r>
                </w:p>
              </w:tc>
              <w:tc>
                <w:tcPr>
                  <w:tcW w:w="679" w:type="dxa"/>
                  <w:vAlign w:val="center"/>
                </w:tcPr>
                <w:p w14:paraId="65E7538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6255B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5BA2A704">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463915A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restart"/>
                  <w:vAlign w:val="center"/>
                </w:tcPr>
                <w:p w14:paraId="56ED3ECB">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固体废物处置</w:t>
                  </w:r>
                </w:p>
              </w:tc>
              <w:tc>
                <w:tcPr>
                  <w:tcW w:w="2262" w:type="dxa"/>
                  <w:vAlign w:val="center"/>
                </w:tcPr>
                <w:p w14:paraId="74F4F07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施工过程中产生的土石方、建筑垃圾、生活垃圾应分类集中收集，并按国家和地方有关规定定期进行清运处置，施工完成后及时做好迹地清理工作。</w:t>
                  </w:r>
                </w:p>
              </w:tc>
              <w:tc>
                <w:tcPr>
                  <w:tcW w:w="2387" w:type="dxa"/>
                  <w:vAlign w:val="center"/>
                </w:tcPr>
                <w:p w14:paraId="6AF238A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本项目施工过程中产生的土石方、建筑垃圾、生活垃圾分类集中收集，定期进行清运处置，施工完成后及时做好迹地清理工作。</w:t>
                  </w:r>
                </w:p>
              </w:tc>
              <w:tc>
                <w:tcPr>
                  <w:tcW w:w="679" w:type="dxa"/>
                  <w:vAlign w:val="center"/>
                </w:tcPr>
                <w:p w14:paraId="394CAEF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15835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4366BEED">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452" w:type="dxa"/>
                  <w:vMerge w:val="continue"/>
                  <w:vAlign w:val="center"/>
                </w:tcPr>
                <w:p w14:paraId="41153231">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527" w:type="dxa"/>
                  <w:vMerge w:val="continue"/>
                  <w:vAlign w:val="center"/>
                </w:tcPr>
                <w:p w14:paraId="0F29DF15">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p>
              </w:tc>
              <w:tc>
                <w:tcPr>
                  <w:tcW w:w="2262" w:type="dxa"/>
                  <w:vAlign w:val="center"/>
                </w:tcPr>
                <w:p w14:paraId="6AF195A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在农田和经济作物区施工时，施工临时占地宜采取隔离保护措施，施工结束后应将混凝土余料和残渣及时清除，以免影响后期土地功能的恢复。</w:t>
                  </w:r>
                </w:p>
              </w:tc>
              <w:tc>
                <w:tcPr>
                  <w:tcW w:w="2387" w:type="dxa"/>
                  <w:vAlign w:val="center"/>
                </w:tcPr>
                <w:p w14:paraId="0D17DFD6">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本项目施工场地在站内进行，不新征用地。</w:t>
                  </w:r>
                </w:p>
              </w:tc>
              <w:tc>
                <w:tcPr>
                  <w:tcW w:w="679" w:type="dxa"/>
                  <w:vAlign w:val="center"/>
                </w:tcPr>
                <w:p w14:paraId="1CA87B17">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r w14:paraId="02FBD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68" w:type="dxa"/>
                  <w:vAlign w:val="center"/>
                </w:tcPr>
                <w:p w14:paraId="71AE801A">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4</w:t>
                  </w:r>
                </w:p>
              </w:tc>
              <w:tc>
                <w:tcPr>
                  <w:tcW w:w="452" w:type="dxa"/>
                  <w:vAlign w:val="center"/>
                </w:tcPr>
                <w:p w14:paraId="5E02FAEC">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运行</w:t>
                  </w:r>
                </w:p>
              </w:tc>
              <w:tc>
                <w:tcPr>
                  <w:tcW w:w="2789" w:type="dxa"/>
                  <w:gridSpan w:val="2"/>
                  <w:vAlign w:val="center"/>
                </w:tcPr>
                <w:p w14:paraId="7E82AEE9">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运行期做好环境保护设施的维护和运行管理，加强巡查和检查，保障发挥环境保护作用。定期开展环境监测，确保电磁、噪声排放符合GB8702、GB12348等国家标准要求，并及时解决公众合理的环境保护诉求。</w:t>
                  </w:r>
                </w:p>
              </w:tc>
              <w:tc>
                <w:tcPr>
                  <w:tcW w:w="2387" w:type="dxa"/>
                  <w:vAlign w:val="center"/>
                </w:tcPr>
                <w:p w14:paraId="22AEE620">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本项目运营期做好环境保护设施的维护和运行管理，加强巡查和检查，保障发挥环境保护作用。定期开展环境监测，确保电磁、噪声排放符合GB8702、GB12348等国家标准要求，并及时解决公众合理的环境保护诉求。</w:t>
                  </w:r>
                </w:p>
              </w:tc>
              <w:tc>
                <w:tcPr>
                  <w:tcW w:w="679" w:type="dxa"/>
                  <w:vAlign w:val="center"/>
                </w:tcPr>
                <w:p w14:paraId="293185CE">
                  <w:pPr>
                    <w:pStyle w:val="28"/>
                    <w:numPr>
                      <w:ilvl w:val="0"/>
                      <w:numId w:val="0"/>
                    </w:numPr>
                    <w:ind w:left="0" w:leftChars="0" w:firstLine="0" w:firstLineChars="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符合</w:t>
                  </w:r>
                </w:p>
              </w:tc>
            </w:tr>
          </w:tbl>
          <w:p w14:paraId="1098EA7E">
            <w:pPr>
              <w:spacing w:line="360" w:lineRule="auto"/>
              <w:ind w:firstLine="480" w:firstLineChars="200"/>
              <w:rPr>
                <w:rFonts w:hint="eastAsia" w:ascii="Times New Roman" w:hAnsi="Times New Roman" w:eastAsia="宋体" w:cs="Times New Roman"/>
                <w:sz w:val="24"/>
                <w:highlight w:val="none"/>
                <w:u w:val="none"/>
                <w:lang w:val="en-US" w:eastAsia="zh-CN"/>
              </w:rPr>
            </w:pPr>
            <w:r>
              <w:rPr>
                <w:rFonts w:hint="eastAsia" w:ascii="Times New Roman" w:hAnsi="Times New Roman" w:eastAsia="宋体" w:cs="Times New Roman"/>
                <w:sz w:val="24"/>
                <w:highlight w:val="none"/>
                <w:u w:val="none"/>
              </w:rPr>
              <w:t>综上分析，本项目在选址选线、设计、施工、运行等方面均符合《输变电建设项目环境保</w:t>
            </w:r>
            <w:r>
              <w:rPr>
                <w:rFonts w:hint="eastAsia" w:cs="Times New Roman"/>
                <w:sz w:val="24"/>
                <w:highlight w:val="none"/>
                <w:u w:val="none"/>
                <w:lang w:val="en-US" w:eastAsia="zh-CN"/>
              </w:rPr>
              <w:t>护</w:t>
            </w:r>
            <w:r>
              <w:rPr>
                <w:rFonts w:hint="eastAsia" w:ascii="Times New Roman" w:hAnsi="Times New Roman" w:eastAsia="宋体" w:cs="Times New Roman"/>
                <w:sz w:val="24"/>
                <w:highlight w:val="none"/>
                <w:u w:val="none"/>
              </w:rPr>
              <w:t>技术要求》（HJ1113-2020）相关要求。</w:t>
            </w:r>
          </w:p>
          <w:p w14:paraId="31415850">
            <w:pPr>
              <w:autoSpaceDE w:val="0"/>
              <w:autoSpaceDN w:val="0"/>
              <w:adjustRightInd w:val="0"/>
              <w:snapToGrid w:val="0"/>
              <w:spacing w:after="0" w:line="360" w:lineRule="auto"/>
              <w:ind w:firstLine="482" w:firstLineChars="200"/>
              <w:rPr>
                <w:b/>
                <w:bCs/>
                <w:sz w:val="24"/>
              </w:rPr>
            </w:pPr>
            <w:r>
              <w:rPr>
                <w:rFonts w:hint="eastAsia"/>
                <w:b/>
                <w:bCs/>
                <w:sz w:val="24"/>
                <w:lang w:val="en-US" w:eastAsia="zh-CN"/>
              </w:rPr>
              <w:t>4</w:t>
            </w:r>
            <w:r>
              <w:rPr>
                <w:rFonts w:hint="eastAsia"/>
                <w:b/>
                <w:bCs/>
                <w:sz w:val="24"/>
              </w:rPr>
              <w:t>、</w:t>
            </w:r>
            <w:bookmarkStart w:id="8" w:name="_Hlk174459711"/>
            <w:r>
              <w:rPr>
                <w:rFonts w:hint="eastAsia"/>
                <w:b/>
                <w:bCs/>
                <w:sz w:val="24"/>
              </w:rPr>
              <w:t>与《广西生态环境保护“十四五”规划》相符性</w:t>
            </w:r>
            <w:bookmarkEnd w:id="8"/>
            <w:r>
              <w:rPr>
                <w:rFonts w:hint="eastAsia"/>
                <w:b/>
                <w:bCs/>
                <w:sz w:val="24"/>
              </w:rPr>
              <w:t>分析</w:t>
            </w:r>
          </w:p>
          <w:p w14:paraId="32E5C8AF">
            <w:pPr>
              <w:spacing w:after="0" w:line="360" w:lineRule="auto"/>
              <w:ind w:firstLine="480" w:firstLineChars="200"/>
              <w:rPr>
                <w:color w:val="auto"/>
                <w:sz w:val="24"/>
              </w:rPr>
            </w:pPr>
            <w:r>
              <w:rPr>
                <w:rFonts w:hint="eastAsia"/>
                <w:color w:val="auto"/>
                <w:sz w:val="24"/>
              </w:rPr>
              <w:t>根据《广西壮族自治区人民政府办公厅关于印发广西生态环境保护“十四五”规划的通知》（桂政办发〔2021〕145号），“继续推动能源结构优化。大力发展清洁能源，深度开发水电，安全稳妥发展先进核电，积极开发陆上风电和光伏发电，规模化、集约化发展海上风电，加快推进整县屋顶分布式光伏试点，因地制宜发展生物质能源。大力提升新能源消纳和存储能力，加大抽水蓄能和新型储能建设力度，推进电力源网荷储一体化和多能互补发展，加快构建以新能源为主体、适应高比例可再生能源发展的新型电力系统”。</w:t>
            </w:r>
          </w:p>
          <w:p w14:paraId="512144E3">
            <w:pPr>
              <w:autoSpaceDE w:val="0"/>
              <w:autoSpaceDN w:val="0"/>
              <w:adjustRightInd w:val="0"/>
              <w:snapToGrid w:val="0"/>
              <w:spacing w:line="360" w:lineRule="auto"/>
              <w:ind w:firstLine="480" w:firstLineChars="200"/>
              <w:rPr>
                <w:rFonts w:hint="eastAsia"/>
                <w:b/>
                <w:bCs/>
                <w:color w:val="auto"/>
                <w:sz w:val="24"/>
                <w:u w:val="none"/>
              </w:rPr>
            </w:pPr>
            <w:r>
              <w:rPr>
                <w:rFonts w:hint="eastAsia"/>
                <w:color w:val="auto"/>
                <w:sz w:val="24"/>
              </w:rPr>
              <w:t>本项目为输变电建设项目，为周边提供清洁能源（电力）供应，符合《广西生态环境保护“十四五”规划》相关要求。</w:t>
            </w:r>
          </w:p>
          <w:p w14:paraId="26713655">
            <w:pPr>
              <w:autoSpaceDE w:val="0"/>
              <w:autoSpaceDN w:val="0"/>
              <w:adjustRightInd w:val="0"/>
              <w:snapToGrid w:val="0"/>
              <w:spacing w:line="360" w:lineRule="auto"/>
              <w:ind w:firstLine="482" w:firstLineChars="200"/>
              <w:rPr>
                <w:b/>
                <w:bCs/>
                <w:sz w:val="24"/>
                <w:u w:val="none"/>
              </w:rPr>
            </w:pPr>
            <w:r>
              <w:rPr>
                <w:rFonts w:hint="eastAsia"/>
                <w:b/>
                <w:bCs/>
                <w:sz w:val="24"/>
                <w:u w:val="none"/>
                <w:lang w:val="en-US" w:eastAsia="zh-CN"/>
              </w:rPr>
              <w:t>5</w:t>
            </w:r>
            <w:r>
              <w:rPr>
                <w:rFonts w:hint="eastAsia"/>
                <w:b/>
                <w:bCs/>
                <w:sz w:val="24"/>
                <w:u w:val="none"/>
              </w:rPr>
              <w:t>、与《</w:t>
            </w:r>
            <w:r>
              <w:rPr>
                <w:rFonts w:hint="eastAsia"/>
                <w:b/>
                <w:bCs/>
                <w:sz w:val="24"/>
                <w:u w:val="none"/>
                <w:lang w:val="en-US" w:eastAsia="zh-CN"/>
              </w:rPr>
              <w:t>柳州</w:t>
            </w:r>
            <w:r>
              <w:rPr>
                <w:rFonts w:hint="eastAsia"/>
                <w:b/>
                <w:bCs/>
                <w:sz w:val="24"/>
                <w:u w:val="none"/>
              </w:rPr>
              <w:t>市生态环境保护“十四五”规划》相符性分析</w:t>
            </w:r>
          </w:p>
          <w:p w14:paraId="7DC9EF69">
            <w:pPr>
              <w:spacing w:line="360" w:lineRule="auto"/>
              <w:ind w:firstLine="480" w:firstLineChars="200"/>
              <w:rPr>
                <w:sz w:val="24"/>
                <w:u w:val="none"/>
              </w:rPr>
            </w:pPr>
            <w:r>
              <w:rPr>
                <w:rFonts w:hint="eastAsia"/>
                <w:sz w:val="24"/>
                <w:u w:val="none"/>
              </w:rPr>
              <w:t>根据《</w:t>
            </w:r>
            <w:r>
              <w:rPr>
                <w:rFonts w:hint="eastAsia"/>
                <w:sz w:val="24"/>
                <w:u w:val="none"/>
                <w:lang w:val="en-US" w:eastAsia="zh-CN"/>
              </w:rPr>
              <w:t>柳州</w:t>
            </w:r>
            <w:r>
              <w:rPr>
                <w:rFonts w:hint="eastAsia"/>
                <w:sz w:val="24"/>
                <w:u w:val="none"/>
              </w:rPr>
              <w:t>市生态环境保护“十四五”规划》，</w:t>
            </w:r>
            <w:r>
              <w:rPr>
                <w:rFonts w:hint="eastAsia" w:ascii="宋体" w:hAnsi="宋体" w:eastAsia="宋体" w:cs="宋体"/>
                <w:b w:val="0"/>
                <w:bCs w:val="0"/>
                <w:sz w:val="24"/>
                <w:szCs w:val="24"/>
                <w:highlight w:val="none"/>
                <w:u w:val="none"/>
              </w:rPr>
              <w:t>推动能源结构绿色低碳转型</w:t>
            </w:r>
            <w:r>
              <w:rPr>
                <w:rFonts w:hint="eastAsia"/>
                <w:sz w:val="24"/>
                <w:u w:val="none"/>
              </w:rPr>
              <w:t>，</w:t>
            </w:r>
            <w:r>
              <w:rPr>
                <w:rFonts w:hint="eastAsia" w:ascii="宋体" w:hAnsi="宋体" w:eastAsia="宋体" w:cs="宋体"/>
                <w:sz w:val="24"/>
                <w:szCs w:val="24"/>
                <w:u w:val="none"/>
              </w:rPr>
              <w:t>推进火电、钢铁、有色金属、化工等重点高耗能行业能效提升系统改造</w:t>
            </w:r>
            <w:r>
              <w:rPr>
                <w:rFonts w:hint="eastAsia"/>
                <w:sz w:val="24"/>
                <w:u w:val="none"/>
                <w:lang w:eastAsia="zh-CN"/>
              </w:rPr>
              <w:t>，</w:t>
            </w:r>
            <w:r>
              <w:rPr>
                <w:rFonts w:hint="eastAsia"/>
                <w:sz w:val="24"/>
                <w:u w:val="none"/>
              </w:rPr>
              <w:t>推进“煤改气”“煤改电”，交通领域推进“</w:t>
            </w:r>
            <w:r>
              <w:rPr>
                <w:rFonts w:hint="eastAsia" w:ascii="宋体" w:hAnsi="宋体" w:eastAsia="宋体" w:cs="宋体"/>
                <w:kern w:val="0"/>
                <w:sz w:val="24"/>
                <w:szCs w:val="24"/>
                <w:u w:val="none"/>
              </w:rPr>
              <w:t>补短板</w:t>
            </w:r>
            <w:r>
              <w:rPr>
                <w:rFonts w:hint="eastAsia"/>
                <w:sz w:val="24"/>
                <w:u w:val="none"/>
              </w:rPr>
              <w:t>”</w:t>
            </w:r>
            <w:r>
              <w:rPr>
                <w:rFonts w:hint="eastAsia" w:ascii="宋体" w:hAnsi="宋体" w:eastAsia="宋体" w:cs="宋体"/>
                <w:kern w:val="0"/>
                <w:sz w:val="24"/>
                <w:szCs w:val="24"/>
                <w:u w:val="none"/>
              </w:rPr>
              <w:t>交通物流基础设施建设</w:t>
            </w:r>
            <w:r>
              <w:rPr>
                <w:rFonts w:hint="eastAsia"/>
                <w:sz w:val="24"/>
                <w:u w:val="none"/>
              </w:rPr>
              <w:t>。</w:t>
            </w:r>
          </w:p>
          <w:p w14:paraId="26DE3069">
            <w:pPr>
              <w:spacing w:line="360" w:lineRule="auto"/>
              <w:ind w:firstLine="480" w:firstLineChars="200"/>
              <w:rPr>
                <w:sz w:val="24"/>
                <w:highlight w:val="none"/>
                <w:u w:val="none"/>
              </w:rPr>
            </w:pPr>
            <w:r>
              <w:rPr>
                <w:rFonts w:hint="eastAsia"/>
                <w:sz w:val="24"/>
                <w:highlight w:val="none"/>
                <w:u w:val="none"/>
              </w:rPr>
              <w:t>本项目为</w:t>
            </w:r>
            <w:r>
              <w:rPr>
                <w:rFonts w:hint="eastAsia"/>
                <w:sz w:val="24"/>
                <w:highlight w:val="none"/>
                <w:u w:val="none"/>
                <w:lang w:val="en-US" w:eastAsia="zh-CN"/>
              </w:rPr>
              <w:t>主变扩建工程</w:t>
            </w:r>
            <w:r>
              <w:rPr>
                <w:rFonts w:hint="eastAsia"/>
                <w:sz w:val="24"/>
                <w:highlight w:val="none"/>
                <w:u w:val="none"/>
              </w:rPr>
              <w:t>建设项目，为周边提供清洁能源（电力）供应，有利于推进能源清洁低碳利用，符合《</w:t>
            </w:r>
            <w:r>
              <w:rPr>
                <w:rFonts w:hint="eastAsia"/>
                <w:sz w:val="24"/>
                <w:highlight w:val="none"/>
                <w:u w:val="none"/>
                <w:lang w:val="en-US" w:eastAsia="zh-CN"/>
              </w:rPr>
              <w:t>柳州</w:t>
            </w:r>
            <w:r>
              <w:rPr>
                <w:rFonts w:hint="eastAsia"/>
                <w:sz w:val="24"/>
                <w:highlight w:val="none"/>
                <w:u w:val="none"/>
              </w:rPr>
              <w:t>市生态环境保护“十四五”规划》相关要求。</w:t>
            </w:r>
          </w:p>
          <w:p w14:paraId="5EA32A81">
            <w:pPr>
              <w:spacing w:line="360" w:lineRule="auto"/>
              <w:ind w:firstLine="482" w:firstLineChars="200"/>
              <w:rPr>
                <w:b/>
                <w:bCs/>
                <w:sz w:val="24"/>
                <w:u w:val="none"/>
              </w:rPr>
            </w:pPr>
            <w:r>
              <w:rPr>
                <w:rFonts w:hint="eastAsia"/>
                <w:b/>
                <w:bCs/>
                <w:sz w:val="24"/>
                <w:u w:val="none"/>
                <w:lang w:val="en-US" w:eastAsia="zh-CN"/>
              </w:rPr>
              <w:t>6</w:t>
            </w:r>
            <w:r>
              <w:rPr>
                <w:rFonts w:hint="eastAsia"/>
                <w:b/>
                <w:bCs/>
                <w:sz w:val="24"/>
                <w:u w:val="none"/>
              </w:rPr>
              <w:t>、与“三区三线”相符性分析</w:t>
            </w:r>
          </w:p>
          <w:p w14:paraId="4AEED8D7">
            <w:pPr>
              <w:spacing w:line="360" w:lineRule="auto"/>
              <w:ind w:firstLine="480" w:firstLineChars="200"/>
              <w:rPr>
                <w:sz w:val="24"/>
                <w:u w:val="none"/>
              </w:rPr>
            </w:pPr>
            <w:r>
              <w:rPr>
                <w:rFonts w:hint="eastAsia"/>
                <w:sz w:val="24"/>
                <w:u w:val="none"/>
              </w:rPr>
              <w:t>“三区三线”：“三区”指生态、农业、城镇三类空间；“三线”指根据生态空间、农业空间、城镇空间划定的生态保护红线、永久基本农田和城镇开发边界三条控制线。</w:t>
            </w:r>
          </w:p>
          <w:p w14:paraId="1DBBD950">
            <w:pPr>
              <w:spacing w:line="360" w:lineRule="auto"/>
              <w:ind w:firstLine="480" w:firstLineChars="200"/>
              <w:rPr>
                <w:u w:val="none"/>
              </w:rPr>
            </w:pPr>
            <w:r>
              <w:rPr>
                <w:rFonts w:hint="eastAsia"/>
                <w:sz w:val="24"/>
                <w:u w:val="none"/>
              </w:rPr>
              <w:t>本项目为</w:t>
            </w:r>
            <w:r>
              <w:rPr>
                <w:rFonts w:hint="eastAsia"/>
                <w:sz w:val="24"/>
                <w:highlight w:val="none"/>
                <w:u w:val="none"/>
              </w:rPr>
              <w:t>输变电建设</w:t>
            </w:r>
            <w:r>
              <w:rPr>
                <w:rFonts w:hint="eastAsia"/>
                <w:sz w:val="24"/>
                <w:u w:val="none"/>
              </w:rPr>
              <w:t>项目，不涉及占用生态保护红线、永久基本农田，项目位于</w:t>
            </w:r>
            <w:r>
              <w:rPr>
                <w:rFonts w:hint="eastAsia"/>
                <w:sz w:val="24"/>
                <w:u w:val="none"/>
                <w:lang w:val="en-US" w:eastAsia="zh-CN"/>
              </w:rPr>
              <w:t>阳和工业新区</w:t>
            </w:r>
            <w:r>
              <w:rPr>
                <w:rFonts w:hint="eastAsia"/>
                <w:sz w:val="24"/>
                <w:u w:val="none"/>
              </w:rPr>
              <w:t>园区内，项目符合园区发展规划和土地利用规划。因此，项目的建设符合“三区三线”相关要求。</w:t>
            </w:r>
          </w:p>
          <w:p w14:paraId="431152E3">
            <w:pPr>
              <w:spacing w:line="360" w:lineRule="auto"/>
              <w:ind w:firstLine="482" w:firstLineChars="200"/>
              <w:rPr>
                <w:rFonts w:hint="eastAsia" w:ascii="Times New Roman" w:hAnsi="Times New Roman" w:eastAsia="宋体" w:cs="Times New Roman"/>
                <w:b/>
                <w:bCs/>
                <w:sz w:val="24"/>
                <w:u w:val="none"/>
              </w:rPr>
            </w:pPr>
            <w:r>
              <w:rPr>
                <w:rFonts w:hint="eastAsia" w:cs="Times New Roman"/>
                <w:b/>
                <w:bCs/>
                <w:sz w:val="24"/>
                <w:u w:val="none"/>
                <w:lang w:val="en-US" w:eastAsia="zh-CN"/>
              </w:rPr>
              <w:t>7</w:t>
            </w:r>
            <w:r>
              <w:rPr>
                <w:rFonts w:hint="eastAsia" w:ascii="Times New Roman" w:hAnsi="Times New Roman" w:eastAsia="宋体" w:cs="Times New Roman"/>
                <w:b/>
                <w:bCs/>
                <w:sz w:val="24"/>
                <w:u w:val="none"/>
                <w:lang w:val="en-US" w:eastAsia="zh-CN"/>
              </w:rPr>
              <w:t>、</w:t>
            </w:r>
            <w:r>
              <w:rPr>
                <w:rFonts w:hint="eastAsia" w:ascii="Times New Roman" w:hAnsi="Times New Roman" w:eastAsia="宋体" w:cs="Times New Roman"/>
                <w:b/>
                <w:bCs/>
                <w:sz w:val="24"/>
                <w:u w:val="none"/>
              </w:rPr>
              <w:t>小结</w:t>
            </w:r>
          </w:p>
          <w:p w14:paraId="0D3E4EDB">
            <w:pPr>
              <w:adjustRightInd w:val="0"/>
              <w:snapToGrid w:val="0"/>
              <w:ind w:firstLine="480" w:firstLineChars="200"/>
              <w:rPr>
                <w:u w:val="none"/>
              </w:rPr>
            </w:pPr>
            <w:r>
              <w:rPr>
                <w:rFonts w:hint="eastAsia"/>
                <w:sz w:val="24"/>
                <w:szCs w:val="24"/>
                <w:u w:val="none"/>
                <w:lang w:val="en-US" w:eastAsia="zh-CN"/>
              </w:rPr>
              <w:t>综上所述，本项目建设符合《阳和工业新区产业发展规划（2021-2025年）》及《阳和工业新区产业发展规划(2021-2025年)环境影响报告书》相关要求</w:t>
            </w:r>
            <w:r>
              <w:rPr>
                <w:sz w:val="24"/>
                <w:szCs w:val="24"/>
                <w:u w:val="none"/>
              </w:rPr>
              <w:t>，对地区经济发展起到积极促进作用，工程在建设期和</w:t>
            </w:r>
            <w:r>
              <w:rPr>
                <w:rFonts w:hint="eastAsia"/>
                <w:sz w:val="24"/>
                <w:szCs w:val="24"/>
                <w:u w:val="none"/>
              </w:rPr>
              <w:t>运营期</w:t>
            </w:r>
            <w:r>
              <w:rPr>
                <w:sz w:val="24"/>
                <w:szCs w:val="24"/>
                <w:u w:val="none"/>
              </w:rPr>
              <w:t>采取有效的防治和减缓措施后，可以满足国家相关环保标准要求，</w:t>
            </w:r>
            <w:r>
              <w:rPr>
                <w:b w:val="0"/>
                <w:bCs/>
                <w:i w:val="0"/>
                <w:iCs/>
                <w:sz w:val="24"/>
                <w:szCs w:val="24"/>
                <w:u w:val="none"/>
              </w:rPr>
              <w:t>因此，从环境影响角度来看，该项目的建设是可行的。</w:t>
            </w:r>
          </w:p>
        </w:tc>
      </w:tr>
    </w:tbl>
    <w:p w14:paraId="17EFCD15">
      <w:pPr>
        <w:rPr>
          <w:u w:val="none"/>
        </w:rPr>
        <w:sectPr>
          <w:footerReference r:id="rId7" w:type="default"/>
          <w:pgSz w:w="11906" w:h="16838"/>
          <w:pgMar w:top="1701" w:right="1531" w:bottom="1701" w:left="1531" w:header="851" w:footer="1077" w:gutter="0"/>
          <w:pgNumType w:start="1"/>
          <w:cols w:space="720" w:num="1"/>
          <w:docGrid w:linePitch="312" w:charSpace="0"/>
        </w:sectPr>
      </w:pPr>
    </w:p>
    <w:p w14:paraId="66F4D884">
      <w:pPr>
        <w:pStyle w:val="2"/>
        <w:rPr>
          <w:u w:val="none"/>
        </w:rPr>
      </w:pPr>
      <w:bookmarkStart w:id="9" w:name="_Toc22986"/>
      <w:bookmarkStart w:id="10" w:name="_Toc10601"/>
      <w:bookmarkStart w:id="11" w:name="_Toc18542"/>
      <w:bookmarkStart w:id="12" w:name="_Toc8806"/>
      <w:r>
        <w:rPr>
          <w:rFonts w:hint="eastAsia"/>
          <w:u w:val="none"/>
        </w:rPr>
        <w:t>二、建设内容</w:t>
      </w:r>
      <w:bookmarkEnd w:id="9"/>
      <w:bookmarkEnd w:id="10"/>
      <w:bookmarkEnd w:id="11"/>
      <w:bookmarkEnd w:id="12"/>
    </w:p>
    <w:tbl>
      <w:tblPr>
        <w:tblStyle w:val="19"/>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80"/>
      </w:tblGrid>
      <w:tr w14:paraId="531E1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vAlign w:val="center"/>
          </w:tcPr>
          <w:p w14:paraId="4EEE5C45">
            <w:pPr>
              <w:adjustRightInd w:val="0"/>
              <w:snapToGrid w:val="0"/>
              <w:jc w:val="center"/>
              <w:rPr>
                <w:kern w:val="0"/>
                <w:u w:val="none"/>
              </w:rPr>
            </w:pPr>
            <w:r>
              <w:rPr>
                <w:kern w:val="0"/>
                <w:u w:val="none"/>
              </w:rPr>
              <w:t>地理</w:t>
            </w:r>
          </w:p>
          <w:p w14:paraId="0A4D05DC">
            <w:pPr>
              <w:adjustRightInd w:val="0"/>
              <w:snapToGrid w:val="0"/>
              <w:jc w:val="center"/>
              <w:rPr>
                <w:kern w:val="0"/>
                <w:u w:val="none"/>
              </w:rPr>
            </w:pPr>
            <w:r>
              <w:rPr>
                <w:kern w:val="0"/>
                <w:u w:val="none"/>
              </w:rPr>
              <w:t>位置</w:t>
            </w:r>
          </w:p>
        </w:tc>
        <w:tc>
          <w:tcPr>
            <w:tcW w:w="8380" w:type="dxa"/>
            <w:vAlign w:val="center"/>
          </w:tcPr>
          <w:p w14:paraId="1788E7C9">
            <w:pPr>
              <w:adjustRightInd w:val="0"/>
              <w:snapToGrid w:val="0"/>
              <w:jc w:val="left"/>
              <w:rPr>
                <w:b/>
                <w:kern w:val="0"/>
                <w:u w:val="none"/>
              </w:rPr>
            </w:pPr>
            <w:r>
              <w:rPr>
                <w:b/>
                <w:kern w:val="0"/>
                <w:u w:val="none"/>
              </w:rPr>
              <w:t>2.1地理位置</w:t>
            </w:r>
          </w:p>
          <w:p w14:paraId="477BFB62">
            <w:pPr>
              <w:pStyle w:val="33"/>
              <w:ind w:firstLine="480"/>
              <w:rPr>
                <w:rFonts w:ascii="Times New Roman" w:hAnsi="Times New Roman"/>
                <w:kern w:val="0"/>
                <w:szCs w:val="24"/>
                <w:u w:val="none"/>
              </w:rPr>
            </w:pPr>
            <w:r>
              <w:rPr>
                <w:rFonts w:hint="eastAsia" w:ascii="Times New Roman" w:hAnsi="Times New Roman"/>
                <w:kern w:val="0"/>
                <w:szCs w:val="24"/>
                <w:u w:val="none"/>
              </w:rPr>
              <w:t>220kV果山变电站位于广西柳州市</w:t>
            </w:r>
            <w:r>
              <w:rPr>
                <w:rFonts w:hint="eastAsia" w:ascii="Times New Roman" w:hAnsi="Times New Roman"/>
                <w:kern w:val="0"/>
                <w:szCs w:val="24"/>
                <w:u w:val="none"/>
                <w:lang w:eastAsia="zh-CN"/>
              </w:rPr>
              <w:t>阳和工业新区产</w:t>
            </w:r>
            <w:r>
              <w:rPr>
                <w:rFonts w:hint="eastAsia" w:ascii="Times New Roman" w:hAnsi="Times New Roman"/>
                <w:kern w:val="0"/>
                <w:szCs w:val="24"/>
                <w:u w:val="none"/>
              </w:rPr>
              <w:t>燕山东侧约450m</w:t>
            </w:r>
            <w:r>
              <w:rPr>
                <w:rFonts w:hint="eastAsia" w:ascii="Times New Roman" w:hAnsi="Times New Roman"/>
                <w:kern w:val="0"/>
                <w:szCs w:val="24"/>
                <w:u w:val="none"/>
                <w:lang w:val="en-US" w:eastAsia="zh-CN"/>
              </w:rPr>
              <w:t>处</w:t>
            </w:r>
            <w:r>
              <w:rPr>
                <w:rFonts w:hint="eastAsia" w:ascii="Times New Roman" w:hAnsi="Times New Roman"/>
                <w:kern w:val="0"/>
                <w:szCs w:val="24"/>
                <w:u w:val="none"/>
              </w:rPr>
              <w:t>。</w:t>
            </w:r>
            <w:r>
              <w:rPr>
                <w:rFonts w:ascii="Times New Roman" w:hAnsi="Times New Roman"/>
                <w:kern w:val="0"/>
                <w:szCs w:val="24"/>
                <w:u w:val="none"/>
              </w:rPr>
              <w:t>站址地理位置中心坐标为东经</w:t>
            </w:r>
            <w:r>
              <w:rPr>
                <w:rFonts w:hint="eastAsia" w:ascii="Times New Roman" w:hAnsi="Times New Roman"/>
                <w:szCs w:val="24"/>
                <w:u w:val="none"/>
              </w:rPr>
              <w:t>109</w:t>
            </w:r>
            <w:r>
              <w:rPr>
                <w:rFonts w:ascii="Times New Roman" w:hAnsi="Times New Roman"/>
                <w:szCs w:val="24"/>
                <w:u w:val="none"/>
              </w:rPr>
              <w:t>°</w:t>
            </w:r>
            <w:r>
              <w:rPr>
                <w:rFonts w:hint="eastAsia" w:ascii="Times New Roman" w:hAnsi="Times New Roman"/>
                <w:szCs w:val="24"/>
                <w:u w:val="none"/>
              </w:rPr>
              <w:t>49</w:t>
            </w:r>
            <w:r>
              <w:rPr>
                <w:rFonts w:ascii="Times New Roman" w:hAnsi="Times New Roman"/>
                <w:szCs w:val="24"/>
                <w:u w:val="none"/>
              </w:rPr>
              <w:t>'</w:t>
            </w:r>
            <w:r>
              <w:rPr>
                <w:rFonts w:hint="eastAsia" w:ascii="Times New Roman" w:hAnsi="Times New Roman"/>
                <w:szCs w:val="24"/>
                <w:u w:val="none"/>
              </w:rPr>
              <w:t>26</w:t>
            </w:r>
            <w:r>
              <w:rPr>
                <w:rFonts w:hint="eastAsia" w:ascii="Times New Roman" w:hAnsi="Times New Roman"/>
                <w:szCs w:val="24"/>
                <w:u w:val="none"/>
                <w:lang w:val="en-US" w:eastAsia="zh-CN"/>
              </w:rPr>
              <w:t>.</w:t>
            </w:r>
            <w:r>
              <w:rPr>
                <w:rFonts w:hint="eastAsia" w:ascii="Times New Roman" w:hAnsi="Times New Roman"/>
                <w:szCs w:val="24"/>
                <w:u w:val="none"/>
              </w:rPr>
              <w:t>020</w:t>
            </w:r>
            <w:r>
              <w:rPr>
                <w:rFonts w:ascii="Times New Roman" w:hAnsi="Times New Roman"/>
                <w:szCs w:val="24"/>
                <w:u w:val="none"/>
              </w:rPr>
              <w:t>"</w:t>
            </w:r>
            <w:r>
              <w:rPr>
                <w:rFonts w:hint="eastAsia" w:ascii="Times New Roman" w:hAnsi="Times New Roman"/>
                <w:szCs w:val="24"/>
                <w:u w:val="none"/>
                <w:lang w:eastAsia="zh-CN"/>
              </w:rPr>
              <w:t>，</w:t>
            </w:r>
            <w:r>
              <w:rPr>
                <w:rFonts w:ascii="Times New Roman" w:hAnsi="Times New Roman"/>
                <w:szCs w:val="24"/>
                <w:u w:val="none"/>
              </w:rPr>
              <w:t>北纬</w:t>
            </w:r>
            <w:r>
              <w:rPr>
                <w:rFonts w:hint="eastAsia" w:ascii="Times New Roman" w:hAnsi="Times New Roman"/>
                <w:szCs w:val="24"/>
                <w:u w:val="none"/>
              </w:rPr>
              <w:t>24</w:t>
            </w:r>
            <w:r>
              <w:rPr>
                <w:rFonts w:ascii="Times New Roman" w:hAnsi="Times New Roman"/>
                <w:szCs w:val="24"/>
                <w:u w:val="none"/>
              </w:rPr>
              <w:t>°</w:t>
            </w:r>
            <w:r>
              <w:rPr>
                <w:rFonts w:hint="eastAsia" w:ascii="Times New Roman" w:hAnsi="Times New Roman"/>
                <w:szCs w:val="24"/>
                <w:u w:val="none"/>
              </w:rPr>
              <w:t>27</w:t>
            </w:r>
            <w:r>
              <w:rPr>
                <w:rFonts w:ascii="Times New Roman" w:hAnsi="Times New Roman"/>
                <w:szCs w:val="24"/>
                <w:u w:val="none"/>
              </w:rPr>
              <w:t>'</w:t>
            </w:r>
            <w:r>
              <w:rPr>
                <w:rFonts w:hint="eastAsia" w:ascii="Times New Roman" w:hAnsi="Times New Roman"/>
                <w:szCs w:val="24"/>
                <w:u w:val="none"/>
              </w:rPr>
              <w:t>66</w:t>
            </w:r>
            <w:r>
              <w:rPr>
                <w:rFonts w:hint="eastAsia" w:ascii="Times New Roman" w:hAnsi="Times New Roman"/>
                <w:szCs w:val="24"/>
                <w:u w:val="none"/>
                <w:lang w:val="en-US" w:eastAsia="zh-CN"/>
              </w:rPr>
              <w:t>.</w:t>
            </w:r>
            <w:r>
              <w:rPr>
                <w:rFonts w:hint="eastAsia" w:ascii="Times New Roman" w:hAnsi="Times New Roman"/>
                <w:szCs w:val="24"/>
                <w:u w:val="none"/>
              </w:rPr>
              <w:t>333</w:t>
            </w:r>
            <w:r>
              <w:rPr>
                <w:rFonts w:ascii="Times New Roman" w:hAnsi="Times New Roman"/>
                <w:szCs w:val="24"/>
                <w:u w:val="none"/>
              </w:rPr>
              <w:t>"</w:t>
            </w:r>
            <w:r>
              <w:rPr>
                <w:rFonts w:ascii="Times New Roman" w:hAnsi="Times New Roman"/>
                <w:kern w:val="0"/>
                <w:szCs w:val="24"/>
                <w:u w:val="none"/>
              </w:rPr>
              <w:t>。</w:t>
            </w:r>
          </w:p>
        </w:tc>
      </w:tr>
      <w:tr w14:paraId="3BBAC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10" w:type="dxa"/>
            <w:vAlign w:val="center"/>
          </w:tcPr>
          <w:p w14:paraId="6DFBD757">
            <w:pPr>
              <w:adjustRightInd w:val="0"/>
              <w:snapToGrid w:val="0"/>
              <w:jc w:val="center"/>
              <w:rPr>
                <w:kern w:val="0"/>
                <w:u w:val="none"/>
              </w:rPr>
            </w:pPr>
            <w:r>
              <w:rPr>
                <w:kern w:val="0"/>
                <w:u w:val="none"/>
              </w:rPr>
              <w:t>项目组成及规模</w:t>
            </w:r>
          </w:p>
        </w:tc>
        <w:tc>
          <w:tcPr>
            <w:tcW w:w="8380" w:type="dxa"/>
            <w:vAlign w:val="center"/>
          </w:tcPr>
          <w:p w14:paraId="42DA4304">
            <w:pPr>
              <w:rPr>
                <w:b/>
                <w:bCs/>
                <w:u w:val="none"/>
              </w:rPr>
            </w:pPr>
            <w:r>
              <w:rPr>
                <w:b/>
                <w:bCs/>
                <w:u w:val="none"/>
              </w:rPr>
              <w:t>2.2项目组成及规模</w:t>
            </w:r>
          </w:p>
          <w:p w14:paraId="4EFD4D8A">
            <w:pPr>
              <w:ind w:firstLine="480" w:firstLineChars="200"/>
              <w:rPr>
                <w:rFonts w:hint="eastAsia"/>
                <w:u w:val="none"/>
              </w:rPr>
            </w:pPr>
            <w:r>
              <w:rPr>
                <w:rFonts w:hint="eastAsia"/>
                <w:u w:val="none"/>
              </w:rPr>
              <w:t>220kV果山变电站于2012年9月投产，目前已建成规模为1×180MVA主变，220kV出线4回、110kV出线8回</w:t>
            </w:r>
            <w:r>
              <w:rPr>
                <w:rFonts w:hint="eastAsia"/>
                <w:u w:val="none"/>
                <w:lang w:val="en-US" w:eastAsia="zh-CN"/>
              </w:rPr>
              <w:t>，电容器组：</w:t>
            </w:r>
            <w:r>
              <w:rPr>
                <w:rFonts w:hint="eastAsia"/>
                <w:u w:val="none"/>
              </w:rPr>
              <w:t>(3×8+1×10)Mvar</w:t>
            </w:r>
            <w:r>
              <w:rPr>
                <w:rFonts w:hint="eastAsia"/>
                <w:u w:val="none"/>
                <w:lang w:val="en-US" w:eastAsia="zh-CN"/>
              </w:rPr>
              <w:t>，站用变1250kVA+315kVA</w:t>
            </w:r>
            <w:r>
              <w:rPr>
                <w:rFonts w:hint="eastAsia"/>
                <w:u w:val="none"/>
              </w:rPr>
              <w:t>。</w:t>
            </w:r>
          </w:p>
          <w:p w14:paraId="089E44CB">
            <w:pPr>
              <w:ind w:firstLine="480" w:firstLineChars="200"/>
              <w:rPr>
                <w:u w:val="none"/>
              </w:rPr>
            </w:pPr>
            <w:r>
              <w:rPr>
                <w:u w:val="none"/>
              </w:rPr>
              <w:t>本期工程</w:t>
            </w:r>
            <w:r>
              <w:rPr>
                <w:rFonts w:hint="eastAsia"/>
                <w:u w:val="none"/>
              </w:rPr>
              <w:t>为扩建主变工程，主变规模为1×180MVA主变，电容器组：1×4×8Mvar</w:t>
            </w:r>
            <w:r>
              <w:rPr>
                <w:rFonts w:hint="eastAsia"/>
                <w:u w:val="none"/>
                <w:lang w:eastAsia="zh-CN"/>
              </w:rPr>
              <w:t>，</w:t>
            </w:r>
            <w:r>
              <w:rPr>
                <w:rFonts w:hint="eastAsia"/>
                <w:lang w:val="en-US" w:eastAsia="zh-CN"/>
              </w:rPr>
              <w:t>220kV、110kV</w:t>
            </w:r>
            <w:r>
              <w:rPr>
                <w:rFonts w:hint="eastAsia"/>
                <w:u w:val="none"/>
              </w:rPr>
              <w:t>无新增出线，</w:t>
            </w:r>
            <w:r>
              <w:rPr>
                <w:rFonts w:hint="eastAsia"/>
                <w:lang w:val="en-US" w:eastAsia="zh-CN"/>
              </w:rPr>
              <w:t>10kV新增出线10回</w:t>
            </w:r>
            <w:r>
              <w:rPr>
                <w:rFonts w:hint="eastAsia"/>
                <w:u w:val="none"/>
              </w:rPr>
              <w:t>。</w:t>
            </w:r>
            <w:r>
              <w:rPr>
                <w:u w:val="none"/>
              </w:rPr>
              <w:t>工程规模及基本组成见表2.2-1。</w:t>
            </w:r>
          </w:p>
          <w:p w14:paraId="4528334F">
            <w:pPr>
              <w:pStyle w:val="30"/>
              <w:spacing w:before="72" w:after="120"/>
              <w:rPr>
                <w:sz w:val="24"/>
                <w:u w:val="none"/>
              </w:rPr>
            </w:pPr>
            <w:bookmarkStart w:id="13" w:name="_Ref26954577"/>
            <w:r>
              <w:rPr>
                <w:sz w:val="24"/>
                <w:u w:val="none"/>
              </w:rPr>
              <w:t>表</w:t>
            </w:r>
            <w:r>
              <w:rPr>
                <w:sz w:val="24"/>
                <w:u w:val="none"/>
              </w:rPr>
              <w:fldChar w:fldCharType="begin"/>
            </w:r>
            <w:r>
              <w:rPr>
                <w:sz w:val="24"/>
                <w:u w:val="none"/>
              </w:rPr>
              <w:instrText xml:space="preserve"> SEQ 表 \* ARABIC </w:instrText>
            </w:r>
            <w:r>
              <w:rPr>
                <w:sz w:val="24"/>
                <w:u w:val="none"/>
              </w:rPr>
              <w:fldChar w:fldCharType="separate"/>
            </w:r>
            <w:r>
              <w:rPr>
                <w:sz w:val="24"/>
                <w:u w:val="none"/>
              </w:rPr>
              <w:t>2</w:t>
            </w:r>
            <w:r>
              <w:rPr>
                <w:sz w:val="24"/>
                <w:u w:val="none"/>
              </w:rPr>
              <w:fldChar w:fldCharType="end"/>
            </w:r>
            <w:r>
              <w:rPr>
                <w:sz w:val="24"/>
                <w:u w:val="none"/>
              </w:rPr>
              <w:t>.2-1项目建设规模及基本组成</w:t>
            </w:r>
            <w:bookmarkEnd w:id="1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068"/>
              <w:gridCol w:w="1068"/>
              <w:gridCol w:w="4477"/>
              <w:gridCol w:w="647"/>
            </w:tblGrid>
            <w:tr w14:paraId="1E1A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02" w:type="dxa"/>
                  <w:vAlign w:val="center"/>
                </w:tcPr>
                <w:p w14:paraId="64DA1796">
                  <w:pPr>
                    <w:pStyle w:val="32"/>
                    <w:rPr>
                      <w:b/>
                      <w:bCs/>
                      <w:color w:val="auto"/>
                      <w:sz w:val="21"/>
                      <w:szCs w:val="21"/>
                      <w:highlight w:val="none"/>
                      <w:u w:val="none"/>
                    </w:rPr>
                  </w:pPr>
                  <w:r>
                    <w:rPr>
                      <w:b/>
                      <w:bCs/>
                      <w:color w:val="auto"/>
                      <w:sz w:val="21"/>
                      <w:szCs w:val="21"/>
                      <w:highlight w:val="none"/>
                      <w:u w:val="none"/>
                    </w:rPr>
                    <w:t>分类</w:t>
                  </w:r>
                </w:p>
              </w:tc>
              <w:tc>
                <w:tcPr>
                  <w:tcW w:w="2136" w:type="dxa"/>
                  <w:gridSpan w:val="2"/>
                  <w:vAlign w:val="center"/>
                </w:tcPr>
                <w:p w14:paraId="61DDBBD6">
                  <w:pPr>
                    <w:pStyle w:val="32"/>
                    <w:rPr>
                      <w:b/>
                      <w:bCs/>
                      <w:color w:val="auto"/>
                      <w:sz w:val="21"/>
                      <w:szCs w:val="21"/>
                      <w:highlight w:val="none"/>
                      <w:u w:val="none"/>
                    </w:rPr>
                  </w:pPr>
                  <w:r>
                    <w:rPr>
                      <w:b/>
                      <w:bCs/>
                      <w:color w:val="auto"/>
                      <w:sz w:val="21"/>
                      <w:szCs w:val="21"/>
                      <w:highlight w:val="none"/>
                      <w:u w:val="none"/>
                    </w:rPr>
                    <w:t>项目名称</w:t>
                  </w:r>
                </w:p>
              </w:tc>
              <w:tc>
                <w:tcPr>
                  <w:tcW w:w="4477" w:type="dxa"/>
                  <w:vAlign w:val="center"/>
                </w:tcPr>
                <w:p w14:paraId="6CE6D93E">
                  <w:pPr>
                    <w:pStyle w:val="32"/>
                    <w:rPr>
                      <w:b/>
                      <w:bCs/>
                      <w:color w:val="auto"/>
                      <w:sz w:val="21"/>
                      <w:szCs w:val="21"/>
                      <w:highlight w:val="none"/>
                      <w:u w:val="none"/>
                    </w:rPr>
                  </w:pPr>
                  <w:r>
                    <w:rPr>
                      <w:b/>
                      <w:bCs/>
                      <w:color w:val="auto"/>
                      <w:sz w:val="21"/>
                      <w:szCs w:val="21"/>
                      <w:highlight w:val="none"/>
                      <w:u w:val="none"/>
                    </w:rPr>
                    <w:t>建设情况</w:t>
                  </w:r>
                </w:p>
              </w:tc>
              <w:tc>
                <w:tcPr>
                  <w:tcW w:w="647" w:type="dxa"/>
                  <w:vAlign w:val="center"/>
                </w:tcPr>
                <w:p w14:paraId="6DC624DF">
                  <w:pPr>
                    <w:pStyle w:val="32"/>
                    <w:rPr>
                      <w:b/>
                      <w:bCs/>
                      <w:color w:val="auto"/>
                      <w:sz w:val="21"/>
                      <w:szCs w:val="21"/>
                      <w:highlight w:val="none"/>
                      <w:u w:val="none"/>
                    </w:rPr>
                  </w:pPr>
                  <w:r>
                    <w:rPr>
                      <w:b/>
                      <w:bCs/>
                      <w:color w:val="auto"/>
                      <w:sz w:val="21"/>
                      <w:szCs w:val="21"/>
                      <w:highlight w:val="none"/>
                      <w:u w:val="none"/>
                    </w:rPr>
                    <w:t>备注</w:t>
                  </w:r>
                </w:p>
              </w:tc>
            </w:tr>
            <w:tr w14:paraId="0E62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02" w:type="dxa"/>
                  <w:vMerge w:val="restart"/>
                  <w:vAlign w:val="center"/>
                </w:tcPr>
                <w:p w14:paraId="032AC7B9">
                  <w:pPr>
                    <w:spacing w:line="240" w:lineRule="auto"/>
                    <w:jc w:val="center"/>
                    <w:rPr>
                      <w:color w:val="auto"/>
                      <w:sz w:val="21"/>
                      <w:szCs w:val="21"/>
                      <w:highlight w:val="none"/>
                      <w:u w:val="none"/>
                    </w:rPr>
                  </w:pPr>
                  <w:r>
                    <w:rPr>
                      <w:rFonts w:hint="eastAsia"/>
                      <w:color w:val="auto"/>
                      <w:sz w:val="21"/>
                      <w:szCs w:val="21"/>
                      <w:highlight w:val="none"/>
                      <w:u w:val="none"/>
                      <w:lang w:val="en-US" w:eastAsia="zh-CN"/>
                    </w:rPr>
                    <w:t>前期</w:t>
                  </w:r>
                  <w:r>
                    <w:rPr>
                      <w:color w:val="auto"/>
                      <w:sz w:val="21"/>
                      <w:szCs w:val="21"/>
                      <w:highlight w:val="none"/>
                      <w:u w:val="none"/>
                    </w:rPr>
                    <w:t>工程</w:t>
                  </w:r>
                </w:p>
              </w:tc>
              <w:tc>
                <w:tcPr>
                  <w:tcW w:w="2136" w:type="dxa"/>
                  <w:gridSpan w:val="2"/>
                  <w:vAlign w:val="center"/>
                </w:tcPr>
                <w:p w14:paraId="5DDD5B29">
                  <w:pPr>
                    <w:spacing w:line="240" w:lineRule="auto"/>
                    <w:jc w:val="center"/>
                    <w:rPr>
                      <w:color w:val="auto"/>
                      <w:sz w:val="21"/>
                      <w:szCs w:val="21"/>
                      <w:highlight w:val="none"/>
                      <w:u w:val="none"/>
                    </w:rPr>
                  </w:pPr>
                  <w:r>
                    <w:rPr>
                      <w:rFonts w:hint="eastAsia"/>
                      <w:color w:val="auto"/>
                      <w:sz w:val="21"/>
                      <w:szCs w:val="21"/>
                      <w:highlight w:val="none"/>
                      <w:u w:val="none"/>
                      <w:lang w:val="en-US" w:eastAsia="zh-CN"/>
                    </w:rPr>
                    <w:t>主体</w:t>
                  </w:r>
                  <w:r>
                    <w:rPr>
                      <w:color w:val="auto"/>
                      <w:sz w:val="21"/>
                      <w:szCs w:val="21"/>
                      <w:highlight w:val="none"/>
                      <w:u w:val="none"/>
                    </w:rPr>
                    <w:t>工程</w:t>
                  </w:r>
                </w:p>
              </w:tc>
              <w:tc>
                <w:tcPr>
                  <w:tcW w:w="4477" w:type="dxa"/>
                  <w:vAlign w:val="center"/>
                </w:tcPr>
                <w:p w14:paraId="04BEDD69">
                  <w:pPr>
                    <w:pStyle w:val="11"/>
                    <w:spacing w:line="240" w:lineRule="auto"/>
                    <w:ind w:left="0" w:leftChars="0" w:firstLine="0" w:firstLineChars="0"/>
                    <w:jc w:val="both"/>
                    <w:rPr>
                      <w:color w:val="auto"/>
                      <w:sz w:val="21"/>
                      <w:szCs w:val="21"/>
                      <w:highlight w:val="none"/>
                      <w:u w:val="none"/>
                    </w:rPr>
                  </w:pPr>
                  <w:r>
                    <w:rPr>
                      <w:rFonts w:hint="eastAsia" w:ascii="Times New Roman" w:hAnsi="Times New Roman"/>
                      <w:color w:val="auto"/>
                      <w:kern w:val="0"/>
                      <w:sz w:val="21"/>
                      <w:szCs w:val="21"/>
                      <w:highlight w:val="none"/>
                      <w:u w:val="none"/>
                    </w:rPr>
                    <w:t>1×180MVA主变，220kV出线4回、110kV出线8回，电容器组：(3×8+1×10)Mvar，站用变1250kVA+315kVA。</w:t>
                  </w:r>
                </w:p>
              </w:tc>
              <w:tc>
                <w:tcPr>
                  <w:tcW w:w="647" w:type="dxa"/>
                  <w:vAlign w:val="center"/>
                </w:tcPr>
                <w:p w14:paraId="33C21FC3">
                  <w:pPr>
                    <w:spacing w:line="240" w:lineRule="auto"/>
                    <w:jc w:val="center"/>
                    <w:rPr>
                      <w:rFonts w:hint="default" w:eastAsia="宋体"/>
                      <w:color w:val="auto"/>
                      <w:sz w:val="21"/>
                      <w:szCs w:val="21"/>
                      <w:highlight w:val="none"/>
                      <w:u w:val="none"/>
                      <w:lang w:val="en-US" w:eastAsia="zh-CN"/>
                    </w:rPr>
                  </w:pPr>
                  <w:r>
                    <w:rPr>
                      <w:rFonts w:hint="eastAsia"/>
                      <w:color w:val="auto"/>
                      <w:sz w:val="21"/>
                      <w:szCs w:val="21"/>
                      <w:highlight w:val="none"/>
                      <w:u w:val="none"/>
                      <w:lang w:val="en-US" w:eastAsia="zh-CN"/>
                    </w:rPr>
                    <w:t>/</w:t>
                  </w:r>
                </w:p>
              </w:tc>
            </w:tr>
            <w:tr w14:paraId="274C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02" w:type="dxa"/>
                  <w:vMerge w:val="continue"/>
                  <w:vAlign w:val="center"/>
                </w:tcPr>
                <w:p w14:paraId="009C838A">
                  <w:pPr>
                    <w:spacing w:line="240" w:lineRule="auto"/>
                    <w:jc w:val="center"/>
                    <w:rPr>
                      <w:color w:val="auto"/>
                      <w:sz w:val="21"/>
                      <w:szCs w:val="21"/>
                      <w:highlight w:val="none"/>
                      <w:u w:val="none"/>
                    </w:rPr>
                  </w:pPr>
                </w:p>
              </w:tc>
              <w:tc>
                <w:tcPr>
                  <w:tcW w:w="1068" w:type="dxa"/>
                  <w:vMerge w:val="restart"/>
                  <w:vAlign w:val="center"/>
                </w:tcPr>
                <w:p w14:paraId="2BCF0484">
                  <w:pPr>
                    <w:spacing w:line="240" w:lineRule="auto"/>
                    <w:jc w:val="center"/>
                    <w:rPr>
                      <w:color w:val="auto"/>
                      <w:sz w:val="21"/>
                      <w:szCs w:val="21"/>
                      <w:highlight w:val="none"/>
                      <w:u w:val="none"/>
                    </w:rPr>
                  </w:pPr>
                  <w:r>
                    <w:rPr>
                      <w:rFonts w:hint="eastAsia"/>
                      <w:color w:val="auto"/>
                      <w:sz w:val="21"/>
                      <w:szCs w:val="21"/>
                      <w:highlight w:val="none"/>
                      <w:u w:val="none"/>
                      <w:lang w:val="en-US" w:eastAsia="zh-CN"/>
                    </w:rPr>
                    <w:t>环保工程</w:t>
                  </w:r>
                </w:p>
              </w:tc>
              <w:tc>
                <w:tcPr>
                  <w:tcW w:w="1068" w:type="dxa"/>
                  <w:vAlign w:val="center"/>
                </w:tcPr>
                <w:p w14:paraId="00FFCC49">
                  <w:pPr>
                    <w:spacing w:line="240" w:lineRule="auto"/>
                    <w:jc w:val="center"/>
                    <w:rPr>
                      <w:rFonts w:ascii="Times New Roman" w:hAnsi="Times New Roman" w:eastAsia="宋体" w:cs="Times New Roman"/>
                      <w:color w:val="auto"/>
                      <w:kern w:val="2"/>
                      <w:sz w:val="21"/>
                      <w:szCs w:val="21"/>
                      <w:highlight w:val="none"/>
                      <w:u w:val="none"/>
                      <w:lang w:val="en-US" w:eastAsia="zh-CN" w:bidi="ar-SA"/>
                    </w:rPr>
                  </w:pPr>
                  <w:r>
                    <w:rPr>
                      <w:color w:val="auto"/>
                      <w:sz w:val="21"/>
                      <w:szCs w:val="21"/>
                      <w:highlight w:val="none"/>
                      <w:u w:val="none"/>
                    </w:rPr>
                    <w:t>噪声防治措施</w:t>
                  </w:r>
                </w:p>
              </w:tc>
              <w:tc>
                <w:tcPr>
                  <w:tcW w:w="4477" w:type="dxa"/>
                  <w:vAlign w:val="center"/>
                </w:tcPr>
                <w:p w14:paraId="489F5453">
                  <w:pPr>
                    <w:spacing w:line="240" w:lineRule="auto"/>
                    <w:jc w:val="both"/>
                    <w:rPr>
                      <w:color w:val="auto"/>
                      <w:sz w:val="21"/>
                      <w:szCs w:val="21"/>
                      <w:highlight w:val="none"/>
                      <w:u w:val="none"/>
                    </w:rPr>
                  </w:pPr>
                  <w:r>
                    <w:rPr>
                      <w:color w:val="auto"/>
                      <w:sz w:val="21"/>
                      <w:szCs w:val="21"/>
                      <w:highlight w:val="none"/>
                      <w:u w:val="none"/>
                    </w:rPr>
                    <w:t>选用低噪声设备</w:t>
                  </w:r>
                  <w:r>
                    <w:rPr>
                      <w:rFonts w:hint="eastAsia"/>
                      <w:color w:val="auto"/>
                      <w:sz w:val="21"/>
                      <w:szCs w:val="21"/>
                      <w:highlight w:val="none"/>
                      <w:u w:val="none"/>
                    </w:rPr>
                    <w:t>，利用现有有围墙、建筑物进行隔声</w:t>
                  </w:r>
                  <w:r>
                    <w:rPr>
                      <w:color w:val="auto"/>
                      <w:sz w:val="21"/>
                      <w:szCs w:val="21"/>
                      <w:highlight w:val="none"/>
                      <w:u w:val="none"/>
                    </w:rPr>
                    <w:t>。</w:t>
                  </w:r>
                </w:p>
              </w:tc>
              <w:tc>
                <w:tcPr>
                  <w:tcW w:w="647" w:type="dxa"/>
                  <w:vAlign w:val="center"/>
                </w:tcPr>
                <w:p w14:paraId="0A2D27AC">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4DC1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578AB9F9">
                  <w:pPr>
                    <w:spacing w:line="240" w:lineRule="auto"/>
                    <w:jc w:val="center"/>
                    <w:rPr>
                      <w:color w:val="auto"/>
                      <w:sz w:val="21"/>
                      <w:szCs w:val="21"/>
                      <w:highlight w:val="none"/>
                      <w:u w:val="none"/>
                    </w:rPr>
                  </w:pPr>
                </w:p>
              </w:tc>
              <w:tc>
                <w:tcPr>
                  <w:tcW w:w="1068" w:type="dxa"/>
                  <w:vMerge w:val="continue"/>
                  <w:vAlign w:val="center"/>
                </w:tcPr>
                <w:p w14:paraId="666A9A3F">
                  <w:pPr>
                    <w:spacing w:line="240" w:lineRule="auto"/>
                    <w:jc w:val="center"/>
                    <w:rPr>
                      <w:rFonts w:hint="eastAsia"/>
                      <w:color w:val="auto"/>
                      <w:sz w:val="21"/>
                      <w:szCs w:val="21"/>
                      <w:highlight w:val="none"/>
                      <w:u w:val="none"/>
                      <w:lang w:val="en-US" w:eastAsia="zh-CN"/>
                    </w:rPr>
                  </w:pPr>
                </w:p>
              </w:tc>
              <w:tc>
                <w:tcPr>
                  <w:tcW w:w="1068" w:type="dxa"/>
                  <w:vAlign w:val="center"/>
                </w:tcPr>
                <w:p w14:paraId="4CF029DE">
                  <w:pPr>
                    <w:spacing w:line="240" w:lineRule="auto"/>
                    <w:jc w:val="center"/>
                    <w:rPr>
                      <w:color w:val="auto"/>
                      <w:sz w:val="21"/>
                      <w:szCs w:val="21"/>
                      <w:highlight w:val="none"/>
                      <w:u w:val="none"/>
                    </w:rPr>
                  </w:pPr>
                  <w:r>
                    <w:rPr>
                      <w:color w:val="auto"/>
                      <w:sz w:val="21"/>
                      <w:szCs w:val="21"/>
                      <w:highlight w:val="none"/>
                      <w:u w:val="none"/>
                    </w:rPr>
                    <w:t>电磁辐射防治措施</w:t>
                  </w:r>
                </w:p>
              </w:tc>
              <w:tc>
                <w:tcPr>
                  <w:tcW w:w="4477" w:type="dxa"/>
                  <w:vAlign w:val="center"/>
                </w:tcPr>
                <w:p w14:paraId="6B249ECE">
                  <w:pPr>
                    <w:spacing w:line="240" w:lineRule="auto"/>
                    <w:jc w:val="left"/>
                    <w:rPr>
                      <w:rFonts w:hint="eastAsia"/>
                      <w:color w:val="auto"/>
                      <w:sz w:val="21"/>
                      <w:szCs w:val="21"/>
                      <w:highlight w:val="none"/>
                      <w:u w:val="none"/>
                    </w:rPr>
                  </w:pPr>
                  <w:r>
                    <w:rPr>
                      <w:color w:val="auto"/>
                      <w:sz w:val="21"/>
                      <w:szCs w:val="21"/>
                      <w:highlight w:val="none"/>
                      <w:u w:val="none"/>
                    </w:rPr>
                    <w:t>合理设计并保证设备及配件加工精良，控制绝缘子表面放电，减少因接触不良而产生的火花放电。</w:t>
                  </w:r>
                </w:p>
              </w:tc>
              <w:tc>
                <w:tcPr>
                  <w:tcW w:w="647" w:type="dxa"/>
                  <w:vAlign w:val="center"/>
                </w:tcPr>
                <w:p w14:paraId="5B491473">
                  <w:pPr>
                    <w:spacing w:line="240" w:lineRule="auto"/>
                    <w:jc w:val="center"/>
                    <w:rPr>
                      <w:rFonts w:hint="eastAsia"/>
                      <w:color w:val="auto"/>
                      <w:sz w:val="21"/>
                      <w:szCs w:val="21"/>
                      <w:highlight w:val="none"/>
                      <w:u w:val="none"/>
                    </w:rPr>
                  </w:pPr>
                  <w:r>
                    <w:rPr>
                      <w:rFonts w:hint="eastAsia"/>
                      <w:color w:val="auto"/>
                      <w:sz w:val="21"/>
                      <w:szCs w:val="21"/>
                      <w:highlight w:val="none"/>
                      <w:u w:val="none"/>
                      <w:lang w:val="en-US" w:eastAsia="zh-CN"/>
                    </w:rPr>
                    <w:t>/</w:t>
                  </w:r>
                </w:p>
              </w:tc>
            </w:tr>
            <w:tr w14:paraId="05A9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02" w:type="dxa"/>
                  <w:vMerge w:val="continue"/>
                  <w:vAlign w:val="center"/>
                </w:tcPr>
                <w:p w14:paraId="4E8434DC">
                  <w:pPr>
                    <w:spacing w:line="240" w:lineRule="auto"/>
                    <w:jc w:val="center"/>
                    <w:rPr>
                      <w:color w:val="auto"/>
                      <w:sz w:val="21"/>
                      <w:szCs w:val="21"/>
                      <w:highlight w:val="none"/>
                      <w:u w:val="none"/>
                    </w:rPr>
                  </w:pPr>
                </w:p>
              </w:tc>
              <w:tc>
                <w:tcPr>
                  <w:tcW w:w="1068" w:type="dxa"/>
                  <w:vMerge w:val="continue"/>
                  <w:vAlign w:val="center"/>
                </w:tcPr>
                <w:p w14:paraId="4B75C4F7">
                  <w:pPr>
                    <w:spacing w:line="240" w:lineRule="auto"/>
                    <w:jc w:val="center"/>
                    <w:rPr>
                      <w:rFonts w:hint="eastAsia"/>
                      <w:color w:val="auto"/>
                      <w:sz w:val="21"/>
                      <w:szCs w:val="21"/>
                      <w:highlight w:val="none"/>
                      <w:u w:val="none"/>
                      <w:lang w:val="en-US" w:eastAsia="zh-CN"/>
                    </w:rPr>
                  </w:pPr>
                </w:p>
              </w:tc>
              <w:tc>
                <w:tcPr>
                  <w:tcW w:w="1068" w:type="dxa"/>
                  <w:vAlign w:val="center"/>
                </w:tcPr>
                <w:p w14:paraId="4CFDE52E">
                  <w:pPr>
                    <w:spacing w:line="240" w:lineRule="auto"/>
                    <w:jc w:val="center"/>
                    <w:rPr>
                      <w:color w:val="auto"/>
                      <w:sz w:val="21"/>
                      <w:szCs w:val="21"/>
                      <w:highlight w:val="none"/>
                      <w:u w:val="none"/>
                    </w:rPr>
                  </w:pPr>
                  <w:r>
                    <w:rPr>
                      <w:color w:val="auto"/>
                      <w:sz w:val="21"/>
                      <w:szCs w:val="21"/>
                      <w:highlight w:val="none"/>
                      <w:u w:val="none"/>
                    </w:rPr>
                    <w:t>固体废物防治措施</w:t>
                  </w:r>
                </w:p>
              </w:tc>
              <w:tc>
                <w:tcPr>
                  <w:tcW w:w="4477" w:type="dxa"/>
                  <w:vAlign w:val="center"/>
                </w:tcPr>
                <w:p w14:paraId="2D3C9604">
                  <w:pPr>
                    <w:spacing w:line="240" w:lineRule="auto"/>
                    <w:jc w:val="center"/>
                    <w:rPr>
                      <w:rFonts w:hint="eastAsia"/>
                      <w:color w:val="auto"/>
                      <w:sz w:val="21"/>
                      <w:szCs w:val="21"/>
                      <w:highlight w:val="none"/>
                      <w:u w:val="none"/>
                      <w:lang w:eastAsia="zh-CN"/>
                    </w:rPr>
                  </w:pPr>
                  <w:r>
                    <w:rPr>
                      <w:rFonts w:hint="eastAsia"/>
                      <w:color w:val="auto"/>
                      <w:sz w:val="21"/>
                      <w:szCs w:val="21"/>
                      <w:highlight w:val="none"/>
                      <w:u w:val="none"/>
                    </w:rPr>
                    <w:t>设置足够的垃圾箱，定时清运垃圾至收集站</w:t>
                  </w:r>
                  <w:r>
                    <w:rPr>
                      <w:rFonts w:hint="eastAsia"/>
                      <w:color w:val="auto"/>
                      <w:sz w:val="21"/>
                      <w:szCs w:val="21"/>
                      <w:highlight w:val="none"/>
                      <w:u w:val="none"/>
                      <w:lang w:eastAsia="zh-CN"/>
                    </w:rPr>
                    <w:t>。</w:t>
                  </w:r>
                </w:p>
                <w:p w14:paraId="2D040FE4">
                  <w:pPr>
                    <w:spacing w:line="240" w:lineRule="auto"/>
                    <w:jc w:val="center"/>
                    <w:rPr>
                      <w:rFonts w:hint="eastAsia"/>
                      <w:color w:val="auto"/>
                      <w:sz w:val="21"/>
                      <w:szCs w:val="21"/>
                      <w:highlight w:val="none"/>
                      <w:u w:val="none"/>
                    </w:rPr>
                  </w:pPr>
                  <w:r>
                    <w:rPr>
                      <w:rFonts w:hint="eastAsia"/>
                      <w:color w:val="auto"/>
                      <w:sz w:val="21"/>
                      <w:szCs w:val="21"/>
                      <w:highlight w:val="none"/>
                      <w:u w:val="none"/>
                    </w:rPr>
                    <w:t>变电站铅酸蓄电池因发生故障或使用寿命周期原因退出运行时会产生废铅酸蓄电池（HW31含铅废物，代码为900-052-31）。建设单位已制定相关规章，要求铅酸蓄电池退出运行后不得随意丢弃，联系有危险废物处理资质的单位</w:t>
                  </w:r>
                  <w:r>
                    <w:rPr>
                      <w:rFonts w:hint="eastAsia"/>
                      <w:color w:val="auto"/>
                      <w:sz w:val="21"/>
                      <w:szCs w:val="21"/>
                      <w:highlight w:val="none"/>
                      <w:u w:val="none"/>
                      <w:lang w:eastAsia="zh-CN"/>
                    </w:rPr>
                    <w:t>（</w:t>
                  </w:r>
                  <w:r>
                    <w:rPr>
                      <w:rFonts w:hint="eastAsia"/>
                      <w:color w:val="auto"/>
                      <w:sz w:val="21"/>
                      <w:szCs w:val="21"/>
                      <w:highlight w:val="none"/>
                      <w:u w:val="none"/>
                      <w:lang w:val="en-US" w:eastAsia="zh-CN"/>
                    </w:rPr>
                    <w:t>广西</w:t>
                  </w:r>
                  <w:r>
                    <w:rPr>
                      <w:rFonts w:hint="eastAsia"/>
                      <w:color w:val="auto"/>
                      <w:sz w:val="21"/>
                      <w:szCs w:val="21"/>
                      <w:highlight w:val="none"/>
                      <w:u w:val="none"/>
                      <w:lang w:eastAsia="zh-CN"/>
                    </w:rPr>
                    <w:t>维云再生资源回收有限责任公司）</w:t>
                  </w:r>
                  <w:r>
                    <w:rPr>
                      <w:rFonts w:hint="eastAsia"/>
                      <w:color w:val="auto"/>
                      <w:sz w:val="21"/>
                      <w:szCs w:val="21"/>
                      <w:highlight w:val="none"/>
                      <w:u w:val="none"/>
                    </w:rPr>
                    <w:t>进行当天当场回收处理。</w:t>
                  </w:r>
                </w:p>
              </w:tc>
              <w:tc>
                <w:tcPr>
                  <w:tcW w:w="647" w:type="dxa"/>
                  <w:vAlign w:val="center"/>
                </w:tcPr>
                <w:p w14:paraId="1A791301">
                  <w:pPr>
                    <w:spacing w:line="240" w:lineRule="auto"/>
                    <w:jc w:val="center"/>
                    <w:rPr>
                      <w:rFonts w:hint="eastAsia"/>
                      <w:color w:val="auto"/>
                      <w:sz w:val="21"/>
                      <w:szCs w:val="21"/>
                      <w:highlight w:val="none"/>
                      <w:u w:val="none"/>
                    </w:rPr>
                  </w:pPr>
                  <w:r>
                    <w:rPr>
                      <w:rFonts w:hint="eastAsia"/>
                      <w:color w:val="auto"/>
                      <w:sz w:val="21"/>
                      <w:szCs w:val="21"/>
                      <w:highlight w:val="none"/>
                      <w:u w:val="none"/>
                      <w:lang w:val="en-US" w:eastAsia="zh-CN"/>
                    </w:rPr>
                    <w:t>/</w:t>
                  </w:r>
                </w:p>
              </w:tc>
            </w:tr>
            <w:tr w14:paraId="46E2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02" w:type="dxa"/>
                  <w:vMerge w:val="continue"/>
                  <w:vAlign w:val="center"/>
                </w:tcPr>
                <w:p w14:paraId="469AEEFC">
                  <w:pPr>
                    <w:spacing w:line="240" w:lineRule="auto"/>
                    <w:jc w:val="center"/>
                    <w:rPr>
                      <w:color w:val="auto"/>
                      <w:sz w:val="21"/>
                      <w:szCs w:val="21"/>
                      <w:highlight w:val="none"/>
                      <w:u w:val="none"/>
                    </w:rPr>
                  </w:pPr>
                </w:p>
              </w:tc>
              <w:tc>
                <w:tcPr>
                  <w:tcW w:w="1068" w:type="dxa"/>
                  <w:vMerge w:val="continue"/>
                  <w:vAlign w:val="center"/>
                </w:tcPr>
                <w:p w14:paraId="5B0E21EE">
                  <w:pPr>
                    <w:spacing w:line="240" w:lineRule="auto"/>
                    <w:jc w:val="center"/>
                    <w:rPr>
                      <w:rFonts w:hint="eastAsia"/>
                      <w:color w:val="auto"/>
                      <w:sz w:val="21"/>
                      <w:szCs w:val="21"/>
                      <w:highlight w:val="none"/>
                      <w:u w:val="none"/>
                      <w:lang w:val="en-US" w:eastAsia="zh-CN"/>
                    </w:rPr>
                  </w:pPr>
                </w:p>
              </w:tc>
              <w:tc>
                <w:tcPr>
                  <w:tcW w:w="1068" w:type="dxa"/>
                  <w:vAlign w:val="center"/>
                </w:tcPr>
                <w:p w14:paraId="5FF47491">
                  <w:pPr>
                    <w:spacing w:line="240" w:lineRule="auto"/>
                    <w:jc w:val="center"/>
                    <w:rPr>
                      <w:color w:val="auto"/>
                      <w:sz w:val="21"/>
                      <w:szCs w:val="21"/>
                      <w:highlight w:val="none"/>
                      <w:u w:val="none"/>
                    </w:rPr>
                  </w:pPr>
                  <w:r>
                    <w:rPr>
                      <w:color w:val="auto"/>
                      <w:sz w:val="21"/>
                      <w:szCs w:val="21"/>
                      <w:highlight w:val="none"/>
                      <w:u w:val="none"/>
                    </w:rPr>
                    <w:t>环境风险防治措施</w:t>
                  </w:r>
                </w:p>
              </w:tc>
              <w:tc>
                <w:tcPr>
                  <w:tcW w:w="4477" w:type="dxa"/>
                  <w:vAlign w:val="center"/>
                </w:tcPr>
                <w:p w14:paraId="566DEE4C">
                  <w:pPr>
                    <w:adjustRightInd w:val="0"/>
                    <w:snapToGrid w:val="0"/>
                    <w:spacing w:line="240" w:lineRule="auto"/>
                    <w:jc w:val="left"/>
                    <w:rPr>
                      <w:rFonts w:hint="eastAsia"/>
                      <w:color w:val="auto"/>
                      <w:sz w:val="21"/>
                      <w:szCs w:val="21"/>
                      <w:highlight w:val="none"/>
                      <w:u w:val="none"/>
                    </w:rPr>
                  </w:pPr>
                  <w:r>
                    <w:rPr>
                      <w:rFonts w:hint="eastAsia"/>
                      <w:color w:val="auto"/>
                      <w:sz w:val="21"/>
                      <w:szCs w:val="21"/>
                      <w:highlight w:val="none"/>
                      <w:u w:val="none"/>
                    </w:rPr>
                    <w:t>本工程现已有事故油池</w:t>
                  </w:r>
                  <w:r>
                    <w:rPr>
                      <w:rFonts w:hint="eastAsia"/>
                      <w:color w:val="auto"/>
                      <w:sz w:val="21"/>
                      <w:szCs w:val="21"/>
                      <w:highlight w:val="none"/>
                      <w:u w:val="none"/>
                      <w:lang w:eastAsia="zh-CN"/>
                    </w:rPr>
                    <w:t>（有效容积</w:t>
                  </w:r>
                  <w:r>
                    <w:rPr>
                      <w:rFonts w:hint="eastAsia"/>
                      <w:color w:val="auto"/>
                      <w:sz w:val="21"/>
                      <w:szCs w:val="21"/>
                      <w:highlight w:val="none"/>
                      <w:u w:val="none"/>
                      <w:lang w:val="en-US" w:eastAsia="zh-CN"/>
                    </w:rPr>
                    <w:t>65</w:t>
                  </w:r>
                  <w:r>
                    <w:rPr>
                      <w:rFonts w:hint="eastAsia"/>
                      <w:color w:val="auto"/>
                      <w:sz w:val="21"/>
                      <w:szCs w:val="21"/>
                      <w:highlight w:val="none"/>
                      <w:u w:val="none"/>
                    </w:rPr>
                    <w:t>m</w:t>
                  </w:r>
                  <w:r>
                    <w:rPr>
                      <w:rFonts w:hint="eastAsia"/>
                      <w:color w:val="auto"/>
                      <w:sz w:val="21"/>
                      <w:szCs w:val="21"/>
                      <w:highlight w:val="none"/>
                      <w:u w:val="none"/>
                      <w:vertAlign w:val="superscript"/>
                    </w:rPr>
                    <w:t>3</w:t>
                  </w:r>
                  <w:r>
                    <w:rPr>
                      <w:rFonts w:hint="eastAsia"/>
                      <w:color w:val="auto"/>
                      <w:sz w:val="21"/>
                      <w:szCs w:val="21"/>
                      <w:highlight w:val="none"/>
                      <w:u w:val="none"/>
                      <w:lang w:eastAsia="zh-CN"/>
                    </w:rPr>
                    <w:t>）</w:t>
                  </w:r>
                  <w:r>
                    <w:rPr>
                      <w:rFonts w:hint="eastAsia"/>
                      <w:color w:val="auto"/>
                      <w:sz w:val="21"/>
                      <w:szCs w:val="21"/>
                      <w:highlight w:val="none"/>
                      <w:u w:val="none"/>
                    </w:rPr>
                    <w:t>和相应的排油管道</w:t>
                  </w:r>
                  <w:r>
                    <w:rPr>
                      <w:rFonts w:hint="eastAsia"/>
                      <w:color w:val="auto"/>
                      <w:sz w:val="21"/>
                      <w:szCs w:val="21"/>
                      <w:highlight w:val="none"/>
                      <w:u w:val="none"/>
                      <w:lang w:eastAsia="zh-CN"/>
                    </w:rPr>
                    <w:t>，</w:t>
                  </w:r>
                  <w:r>
                    <w:rPr>
                      <w:rFonts w:hint="eastAsia"/>
                      <w:color w:val="auto"/>
                      <w:sz w:val="21"/>
                      <w:szCs w:val="21"/>
                      <w:highlight w:val="none"/>
                      <w:u w:val="none"/>
                    </w:rPr>
                    <w:t>满足相关标准要求</w:t>
                  </w:r>
                  <w:r>
                    <w:rPr>
                      <w:rFonts w:hint="eastAsia" w:ascii="宋体" w:hAnsi="宋体" w:eastAsia="宋体" w:cs="宋体"/>
                      <w:color w:val="auto"/>
                      <w:sz w:val="21"/>
                      <w:szCs w:val="21"/>
                      <w:highlight w:val="none"/>
                      <w:u w:val="none"/>
                      <w:lang w:eastAsia="zh-CN"/>
                    </w:rPr>
                    <w:t>；</w:t>
                  </w:r>
                  <w:r>
                    <w:rPr>
                      <w:rFonts w:hint="eastAsia"/>
                      <w:color w:val="auto"/>
                      <w:sz w:val="21"/>
                      <w:szCs w:val="21"/>
                      <w:highlight w:val="none"/>
                      <w:u w:val="none"/>
                    </w:rPr>
                    <w:t>含油污水经过油水分离后，油被回收利用，分离过程中产生的废油渣和含油废水则交由有资质的危废处理单位</w:t>
                  </w:r>
                  <w:r>
                    <w:rPr>
                      <w:rFonts w:hint="eastAsia"/>
                      <w:color w:val="auto"/>
                      <w:sz w:val="21"/>
                      <w:szCs w:val="21"/>
                      <w:highlight w:val="none"/>
                      <w:u w:val="none"/>
                      <w:lang w:eastAsia="zh-CN"/>
                    </w:rPr>
                    <w:t>（广西欣桂达环保科技有限公司）</w:t>
                  </w:r>
                  <w:r>
                    <w:rPr>
                      <w:rFonts w:hint="eastAsia"/>
                      <w:color w:val="auto"/>
                      <w:sz w:val="21"/>
                      <w:szCs w:val="21"/>
                      <w:highlight w:val="none"/>
                      <w:u w:val="none"/>
                    </w:rPr>
                    <w:t>处理。</w:t>
                  </w:r>
                </w:p>
                <w:p w14:paraId="4E9DFAE1">
                  <w:pPr>
                    <w:adjustRightInd w:val="0"/>
                    <w:snapToGrid w:val="0"/>
                    <w:spacing w:line="240" w:lineRule="auto"/>
                    <w:jc w:val="left"/>
                    <w:rPr>
                      <w:rFonts w:hint="eastAsia" w:eastAsia="宋体"/>
                      <w:color w:val="auto"/>
                      <w:sz w:val="21"/>
                      <w:szCs w:val="21"/>
                      <w:highlight w:val="none"/>
                      <w:u w:val="none"/>
                      <w:lang w:eastAsia="zh-CN"/>
                    </w:rPr>
                  </w:pPr>
                  <w:r>
                    <w:rPr>
                      <w:rFonts w:hint="eastAsia"/>
                      <w:color w:val="auto"/>
                      <w:sz w:val="21"/>
                      <w:szCs w:val="21"/>
                      <w:highlight w:val="none"/>
                      <w:u w:val="none"/>
                    </w:rPr>
                    <w:t>要求运维人员加强对事故油池及其排导系统进行定期巡查和维护，建设单位做好运行期间的管理工作</w:t>
                  </w:r>
                  <w:r>
                    <w:rPr>
                      <w:rFonts w:hint="eastAsia"/>
                      <w:color w:val="auto"/>
                      <w:sz w:val="21"/>
                      <w:szCs w:val="21"/>
                      <w:highlight w:val="none"/>
                      <w:u w:val="none"/>
                      <w:lang w:eastAsia="zh-CN"/>
                    </w:rPr>
                    <w:t>；</w:t>
                  </w:r>
                  <w:r>
                    <w:rPr>
                      <w:rFonts w:hint="eastAsia"/>
                      <w:color w:val="auto"/>
                      <w:sz w:val="21"/>
                      <w:szCs w:val="21"/>
                      <w:highlight w:val="none"/>
                      <w:u w:val="none"/>
                    </w:rPr>
                    <w:t>定期对事故油池的完好情况进行检查，确保无渗漏、无溢流</w:t>
                  </w:r>
                  <w:r>
                    <w:rPr>
                      <w:rFonts w:hint="eastAsia"/>
                      <w:color w:val="auto"/>
                      <w:sz w:val="21"/>
                      <w:szCs w:val="21"/>
                      <w:highlight w:val="none"/>
                      <w:u w:val="none"/>
                      <w:lang w:eastAsia="zh-CN"/>
                    </w:rPr>
                    <w:t>。</w:t>
                  </w:r>
                </w:p>
              </w:tc>
              <w:tc>
                <w:tcPr>
                  <w:tcW w:w="647" w:type="dxa"/>
                  <w:vAlign w:val="center"/>
                </w:tcPr>
                <w:p w14:paraId="208A285B">
                  <w:pPr>
                    <w:spacing w:line="240" w:lineRule="auto"/>
                    <w:jc w:val="center"/>
                    <w:rPr>
                      <w:rFonts w:hint="eastAsia"/>
                      <w:color w:val="auto"/>
                      <w:sz w:val="21"/>
                      <w:szCs w:val="21"/>
                      <w:highlight w:val="none"/>
                      <w:u w:val="none"/>
                    </w:rPr>
                  </w:pPr>
                  <w:r>
                    <w:rPr>
                      <w:rFonts w:hint="eastAsia"/>
                      <w:color w:val="auto"/>
                      <w:sz w:val="21"/>
                      <w:szCs w:val="21"/>
                      <w:highlight w:val="none"/>
                      <w:u w:val="none"/>
                      <w:lang w:val="en-US" w:eastAsia="zh-CN"/>
                    </w:rPr>
                    <w:t>/</w:t>
                  </w:r>
                </w:p>
              </w:tc>
            </w:tr>
            <w:tr w14:paraId="18A5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02" w:type="dxa"/>
                  <w:vMerge w:val="continue"/>
                  <w:vAlign w:val="center"/>
                </w:tcPr>
                <w:p w14:paraId="24F930FE">
                  <w:pPr>
                    <w:spacing w:line="240" w:lineRule="auto"/>
                    <w:jc w:val="center"/>
                    <w:rPr>
                      <w:color w:val="auto"/>
                      <w:sz w:val="21"/>
                      <w:szCs w:val="21"/>
                      <w:highlight w:val="none"/>
                      <w:u w:val="none"/>
                    </w:rPr>
                  </w:pPr>
                </w:p>
              </w:tc>
              <w:tc>
                <w:tcPr>
                  <w:tcW w:w="1068" w:type="dxa"/>
                  <w:vAlign w:val="center"/>
                </w:tcPr>
                <w:p w14:paraId="4F7371B3">
                  <w:pPr>
                    <w:spacing w:line="240" w:lineRule="auto"/>
                    <w:jc w:val="center"/>
                    <w:rPr>
                      <w:color w:val="auto"/>
                      <w:sz w:val="21"/>
                      <w:szCs w:val="21"/>
                      <w:highlight w:val="none"/>
                      <w:u w:val="none"/>
                    </w:rPr>
                  </w:pPr>
                  <w:r>
                    <w:rPr>
                      <w:rFonts w:hint="eastAsia"/>
                      <w:color w:val="auto"/>
                      <w:sz w:val="21"/>
                      <w:szCs w:val="21"/>
                      <w:highlight w:val="none"/>
                      <w:u w:val="none"/>
                      <w:lang w:val="en-US" w:eastAsia="zh-CN"/>
                    </w:rPr>
                    <w:t>公用工程</w:t>
                  </w:r>
                </w:p>
              </w:tc>
              <w:tc>
                <w:tcPr>
                  <w:tcW w:w="1068" w:type="dxa"/>
                  <w:vAlign w:val="center"/>
                </w:tcPr>
                <w:p w14:paraId="2CB5FCEA">
                  <w:pPr>
                    <w:spacing w:line="240" w:lineRule="auto"/>
                    <w:jc w:val="center"/>
                    <w:rPr>
                      <w:color w:val="auto"/>
                      <w:sz w:val="21"/>
                      <w:szCs w:val="21"/>
                      <w:highlight w:val="none"/>
                      <w:u w:val="none"/>
                    </w:rPr>
                  </w:pPr>
                  <w:r>
                    <w:rPr>
                      <w:color w:val="auto"/>
                      <w:sz w:val="21"/>
                      <w:szCs w:val="21"/>
                      <w:highlight w:val="none"/>
                      <w:u w:val="none"/>
                    </w:rPr>
                    <w:t>排水系统</w:t>
                  </w:r>
                </w:p>
              </w:tc>
              <w:tc>
                <w:tcPr>
                  <w:tcW w:w="4477" w:type="dxa"/>
                  <w:vAlign w:val="center"/>
                </w:tcPr>
                <w:p w14:paraId="3F0904ED">
                  <w:pPr>
                    <w:spacing w:line="240" w:lineRule="auto"/>
                    <w:jc w:val="left"/>
                    <w:rPr>
                      <w:rFonts w:hint="eastAsia" w:eastAsia="宋体"/>
                      <w:color w:val="auto"/>
                      <w:sz w:val="21"/>
                      <w:szCs w:val="21"/>
                      <w:highlight w:val="none"/>
                      <w:u w:val="none"/>
                      <w:lang w:eastAsia="zh-CN"/>
                    </w:rPr>
                  </w:pPr>
                  <w:r>
                    <w:rPr>
                      <w:rFonts w:hint="eastAsia"/>
                      <w:color w:val="auto"/>
                      <w:kern w:val="0"/>
                      <w:sz w:val="21"/>
                      <w:szCs w:val="21"/>
                      <w:highlight w:val="none"/>
                      <w:u w:val="none"/>
                      <w:lang w:eastAsia="zh-CN"/>
                    </w:rPr>
                    <w:t>220kV</w:t>
                  </w:r>
                  <w:r>
                    <w:rPr>
                      <w:rFonts w:hint="eastAsia"/>
                      <w:color w:val="auto"/>
                      <w:kern w:val="0"/>
                      <w:sz w:val="21"/>
                      <w:szCs w:val="21"/>
                      <w:highlight w:val="none"/>
                      <w:u w:val="none"/>
                      <w:lang w:val="en-US" w:eastAsia="zh-CN"/>
                    </w:rPr>
                    <w:t>果山</w:t>
                  </w:r>
                  <w:r>
                    <w:rPr>
                      <w:rFonts w:hint="eastAsia"/>
                      <w:color w:val="auto"/>
                      <w:kern w:val="0"/>
                      <w:sz w:val="21"/>
                      <w:szCs w:val="21"/>
                      <w:highlight w:val="none"/>
                      <w:u w:val="none"/>
                      <w:lang w:eastAsia="zh-CN"/>
                    </w:rPr>
                    <w:t>站</w:t>
                  </w:r>
                  <w:r>
                    <w:rPr>
                      <w:rFonts w:hint="eastAsia"/>
                      <w:color w:val="auto"/>
                      <w:kern w:val="0"/>
                      <w:sz w:val="21"/>
                      <w:szCs w:val="21"/>
                      <w:highlight w:val="none"/>
                      <w:u w:val="none"/>
                    </w:rPr>
                    <w:t>生活污水经化粪池处理后用于站内绿化，不外排</w:t>
                  </w:r>
                  <w:r>
                    <w:rPr>
                      <w:rFonts w:hint="eastAsia"/>
                      <w:color w:val="auto"/>
                      <w:kern w:val="0"/>
                      <w:sz w:val="21"/>
                      <w:szCs w:val="21"/>
                      <w:highlight w:val="none"/>
                      <w:u w:val="none"/>
                      <w:lang w:eastAsia="zh-CN"/>
                    </w:rPr>
                    <w:t>；</w:t>
                  </w:r>
                  <w:r>
                    <w:rPr>
                      <w:rFonts w:hint="eastAsia" w:ascii="宋体" w:hAnsi="宋体" w:eastAsia="宋体"/>
                      <w:i w:val="0"/>
                      <w:iCs w:val="0"/>
                      <w:sz w:val="21"/>
                      <w:szCs w:val="21"/>
                      <w:highlight w:val="none"/>
                      <w:u w:val="none"/>
                    </w:rPr>
                    <w:t>站内雨水经雨水排水管收集后排入站外排水沟。</w:t>
                  </w:r>
                </w:p>
              </w:tc>
              <w:tc>
                <w:tcPr>
                  <w:tcW w:w="647" w:type="dxa"/>
                  <w:vAlign w:val="center"/>
                </w:tcPr>
                <w:p w14:paraId="7202A150">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1645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02" w:type="dxa"/>
                  <w:vMerge w:val="restart"/>
                  <w:vAlign w:val="center"/>
                </w:tcPr>
                <w:p w14:paraId="4D5C0AA3">
                  <w:pPr>
                    <w:spacing w:line="240" w:lineRule="auto"/>
                    <w:jc w:val="center"/>
                    <w:rPr>
                      <w:color w:val="auto"/>
                      <w:sz w:val="21"/>
                      <w:szCs w:val="21"/>
                      <w:highlight w:val="none"/>
                      <w:u w:val="none"/>
                    </w:rPr>
                  </w:pPr>
                  <w:r>
                    <w:rPr>
                      <w:rFonts w:hint="eastAsia"/>
                      <w:color w:val="auto"/>
                      <w:sz w:val="21"/>
                      <w:szCs w:val="21"/>
                      <w:highlight w:val="none"/>
                      <w:u w:val="none"/>
                    </w:rPr>
                    <w:t>本期工程</w:t>
                  </w:r>
                </w:p>
              </w:tc>
              <w:tc>
                <w:tcPr>
                  <w:tcW w:w="1068" w:type="dxa"/>
                  <w:vAlign w:val="center"/>
                </w:tcPr>
                <w:p w14:paraId="5ACAC6DC">
                  <w:pPr>
                    <w:spacing w:line="240" w:lineRule="auto"/>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主体</w:t>
                  </w:r>
                  <w:r>
                    <w:rPr>
                      <w:color w:val="auto"/>
                      <w:sz w:val="21"/>
                      <w:szCs w:val="21"/>
                      <w:highlight w:val="none"/>
                      <w:u w:val="none"/>
                    </w:rPr>
                    <w:t>工程</w:t>
                  </w:r>
                </w:p>
              </w:tc>
              <w:tc>
                <w:tcPr>
                  <w:tcW w:w="1068" w:type="dxa"/>
                  <w:vAlign w:val="center"/>
                </w:tcPr>
                <w:p w14:paraId="3B9E23F9">
                  <w:pPr>
                    <w:spacing w:line="240" w:lineRule="auto"/>
                    <w:jc w:val="center"/>
                    <w:rPr>
                      <w:rFonts w:hint="default"/>
                      <w:color w:val="auto"/>
                      <w:sz w:val="21"/>
                      <w:szCs w:val="21"/>
                      <w:highlight w:val="none"/>
                      <w:u w:val="none"/>
                      <w:lang w:val="en-US" w:eastAsia="zh-CN"/>
                    </w:rPr>
                  </w:pPr>
                  <w:r>
                    <w:rPr>
                      <w:rFonts w:hint="eastAsia"/>
                      <w:color w:val="auto"/>
                      <w:sz w:val="21"/>
                      <w:szCs w:val="21"/>
                      <w:highlight w:val="none"/>
                      <w:u w:val="none"/>
                      <w:lang w:val="en-US" w:eastAsia="zh-CN"/>
                    </w:rPr>
                    <w:t>规模</w:t>
                  </w:r>
                </w:p>
              </w:tc>
              <w:tc>
                <w:tcPr>
                  <w:tcW w:w="4477" w:type="dxa"/>
                  <w:vAlign w:val="center"/>
                </w:tcPr>
                <w:p w14:paraId="52D76750">
                  <w:pPr>
                    <w:pStyle w:val="11"/>
                    <w:spacing w:line="240" w:lineRule="auto"/>
                    <w:ind w:left="0" w:leftChars="0" w:firstLine="0" w:firstLineChars="0"/>
                    <w:rPr>
                      <w:rFonts w:hint="eastAsia" w:eastAsia="宋体"/>
                      <w:color w:val="auto"/>
                      <w:sz w:val="21"/>
                      <w:szCs w:val="21"/>
                      <w:highlight w:val="none"/>
                      <w:u w:val="none"/>
                      <w:lang w:eastAsia="zh-CN"/>
                    </w:rPr>
                  </w:pPr>
                  <w:r>
                    <w:rPr>
                      <w:rFonts w:hint="eastAsia" w:ascii="Times New Roman" w:hAnsi="Times New Roman"/>
                      <w:color w:val="auto"/>
                      <w:kern w:val="0"/>
                      <w:sz w:val="21"/>
                      <w:szCs w:val="21"/>
                      <w:highlight w:val="none"/>
                      <w:u w:val="none"/>
                      <w:lang w:val="en-US" w:eastAsia="zh-CN"/>
                    </w:rPr>
                    <w:t>新增1×180MVA主变，电容器组：1×4×8Mvar，10kV新增出线10回。</w:t>
                  </w:r>
                </w:p>
              </w:tc>
              <w:tc>
                <w:tcPr>
                  <w:tcW w:w="647" w:type="dxa"/>
                  <w:vAlign w:val="center"/>
                </w:tcPr>
                <w:p w14:paraId="23196338">
                  <w:pPr>
                    <w:spacing w:line="240" w:lineRule="auto"/>
                    <w:jc w:val="center"/>
                    <w:rPr>
                      <w:rFonts w:hint="eastAsia" w:eastAsia="宋体"/>
                      <w:color w:val="auto"/>
                      <w:sz w:val="21"/>
                      <w:szCs w:val="21"/>
                      <w:highlight w:val="none"/>
                      <w:u w:val="none"/>
                      <w:lang w:val="en-US" w:eastAsia="zh-CN"/>
                    </w:rPr>
                  </w:pPr>
                  <w:r>
                    <w:rPr>
                      <w:rFonts w:hint="eastAsia"/>
                      <w:color w:val="auto"/>
                      <w:sz w:val="21"/>
                      <w:szCs w:val="21"/>
                      <w:highlight w:val="none"/>
                      <w:u w:val="none"/>
                      <w:lang w:val="en-US" w:eastAsia="zh-CN"/>
                    </w:rPr>
                    <w:t>/</w:t>
                  </w:r>
                </w:p>
              </w:tc>
            </w:tr>
            <w:tr w14:paraId="2CFA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02" w:type="dxa"/>
                  <w:vMerge w:val="continue"/>
                  <w:vAlign w:val="center"/>
                </w:tcPr>
                <w:p w14:paraId="181D710B">
                  <w:pPr>
                    <w:spacing w:line="240" w:lineRule="auto"/>
                    <w:jc w:val="center"/>
                    <w:rPr>
                      <w:color w:val="auto"/>
                      <w:sz w:val="21"/>
                      <w:szCs w:val="21"/>
                      <w:highlight w:val="none"/>
                      <w:u w:val="none"/>
                    </w:rPr>
                  </w:pPr>
                </w:p>
              </w:tc>
              <w:tc>
                <w:tcPr>
                  <w:tcW w:w="1068" w:type="dxa"/>
                  <w:vMerge w:val="restart"/>
                  <w:vAlign w:val="center"/>
                </w:tcPr>
                <w:p w14:paraId="69B133CC">
                  <w:pPr>
                    <w:spacing w:line="240" w:lineRule="auto"/>
                    <w:jc w:val="center"/>
                    <w:rPr>
                      <w:rFonts w:hint="eastAsia"/>
                      <w:color w:val="auto"/>
                      <w:sz w:val="21"/>
                      <w:szCs w:val="21"/>
                      <w:highlight w:val="none"/>
                      <w:u w:val="none"/>
                    </w:rPr>
                  </w:pPr>
                  <w:r>
                    <w:rPr>
                      <w:rFonts w:hint="eastAsia"/>
                      <w:color w:val="auto"/>
                      <w:sz w:val="21"/>
                      <w:szCs w:val="21"/>
                      <w:highlight w:val="none"/>
                      <w:u w:val="none"/>
                    </w:rPr>
                    <w:t>环保</w:t>
                  </w:r>
                </w:p>
                <w:p w14:paraId="57DC57BB">
                  <w:pPr>
                    <w:spacing w:line="240" w:lineRule="auto"/>
                    <w:jc w:val="center"/>
                    <w:rPr>
                      <w:color w:val="auto"/>
                      <w:sz w:val="21"/>
                      <w:szCs w:val="21"/>
                      <w:highlight w:val="none"/>
                      <w:u w:val="none"/>
                    </w:rPr>
                  </w:pPr>
                  <w:r>
                    <w:rPr>
                      <w:rFonts w:hint="eastAsia"/>
                      <w:color w:val="auto"/>
                      <w:sz w:val="21"/>
                      <w:szCs w:val="21"/>
                      <w:highlight w:val="none"/>
                      <w:u w:val="none"/>
                    </w:rPr>
                    <w:t>工程</w:t>
                  </w:r>
                </w:p>
              </w:tc>
              <w:tc>
                <w:tcPr>
                  <w:tcW w:w="1068" w:type="dxa"/>
                  <w:vAlign w:val="center"/>
                </w:tcPr>
                <w:p w14:paraId="70FF45B9">
                  <w:pPr>
                    <w:spacing w:line="240" w:lineRule="auto"/>
                    <w:jc w:val="center"/>
                    <w:rPr>
                      <w:color w:val="auto"/>
                      <w:sz w:val="21"/>
                      <w:szCs w:val="21"/>
                      <w:highlight w:val="none"/>
                      <w:u w:val="none"/>
                      <w:lang w:val="en-US" w:eastAsia="zh-CN"/>
                    </w:rPr>
                  </w:pPr>
                  <w:r>
                    <w:rPr>
                      <w:color w:val="auto"/>
                      <w:sz w:val="21"/>
                      <w:szCs w:val="21"/>
                      <w:highlight w:val="none"/>
                      <w:u w:val="none"/>
                    </w:rPr>
                    <w:t>噪声防治措施</w:t>
                  </w:r>
                </w:p>
              </w:tc>
              <w:tc>
                <w:tcPr>
                  <w:tcW w:w="4477" w:type="dxa"/>
                  <w:vAlign w:val="center"/>
                </w:tcPr>
                <w:p w14:paraId="23D7DA8C">
                  <w:pPr>
                    <w:spacing w:line="240" w:lineRule="auto"/>
                    <w:jc w:val="left"/>
                    <w:rPr>
                      <w:color w:val="auto"/>
                      <w:sz w:val="21"/>
                      <w:szCs w:val="21"/>
                      <w:highlight w:val="none"/>
                      <w:u w:val="none"/>
                    </w:rPr>
                  </w:pPr>
                  <w:r>
                    <w:rPr>
                      <w:color w:val="auto"/>
                      <w:sz w:val="21"/>
                      <w:szCs w:val="21"/>
                      <w:highlight w:val="none"/>
                      <w:u w:val="none"/>
                    </w:rPr>
                    <w:t>选用低噪声设备</w:t>
                  </w:r>
                  <w:r>
                    <w:rPr>
                      <w:rFonts w:hint="eastAsia"/>
                      <w:color w:val="auto"/>
                      <w:sz w:val="21"/>
                      <w:szCs w:val="21"/>
                      <w:highlight w:val="none"/>
                      <w:u w:val="none"/>
                    </w:rPr>
                    <w:t>，</w:t>
                  </w:r>
                  <w:r>
                    <w:rPr>
                      <w:rFonts w:hint="eastAsia"/>
                      <w:sz w:val="21"/>
                      <w:szCs w:val="21"/>
                      <w:u w:val="none"/>
                    </w:rPr>
                    <w:t>优化变电站平面布置</w:t>
                  </w:r>
                  <w:r>
                    <w:rPr>
                      <w:rFonts w:hint="eastAsia"/>
                      <w:sz w:val="21"/>
                      <w:szCs w:val="21"/>
                      <w:u w:val="none"/>
                      <w:lang w:eastAsia="zh-CN"/>
                    </w:rPr>
                    <w:t>，</w:t>
                  </w:r>
                  <w:r>
                    <w:rPr>
                      <w:rFonts w:hint="eastAsia"/>
                      <w:sz w:val="21"/>
                      <w:szCs w:val="21"/>
                      <w:u w:val="none"/>
                    </w:rPr>
                    <w:t>定期对设备保养维护</w:t>
                  </w:r>
                  <w:r>
                    <w:rPr>
                      <w:rFonts w:hint="eastAsia"/>
                      <w:sz w:val="21"/>
                      <w:szCs w:val="21"/>
                      <w:u w:val="none"/>
                      <w:lang w:eastAsia="zh-CN"/>
                    </w:rPr>
                    <w:t>，</w:t>
                  </w:r>
                  <w:r>
                    <w:rPr>
                      <w:rFonts w:hint="eastAsia"/>
                      <w:sz w:val="21"/>
                      <w:szCs w:val="21"/>
                      <w:u w:val="none"/>
                    </w:rPr>
                    <w:t>尽量提高变电站内绿化面积，定期维护站内的绿化植被。</w:t>
                  </w:r>
                </w:p>
              </w:tc>
              <w:tc>
                <w:tcPr>
                  <w:tcW w:w="647" w:type="dxa"/>
                  <w:vAlign w:val="center"/>
                </w:tcPr>
                <w:p w14:paraId="3FDA2FB1">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3BAA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02" w:type="dxa"/>
                  <w:vMerge w:val="continue"/>
                  <w:vAlign w:val="center"/>
                </w:tcPr>
                <w:p w14:paraId="2AD573EE">
                  <w:pPr>
                    <w:spacing w:line="240" w:lineRule="auto"/>
                    <w:jc w:val="center"/>
                    <w:rPr>
                      <w:color w:val="auto"/>
                      <w:sz w:val="21"/>
                      <w:szCs w:val="21"/>
                      <w:highlight w:val="none"/>
                      <w:u w:val="none"/>
                    </w:rPr>
                  </w:pPr>
                </w:p>
              </w:tc>
              <w:tc>
                <w:tcPr>
                  <w:tcW w:w="1068" w:type="dxa"/>
                  <w:vMerge w:val="continue"/>
                  <w:vAlign w:val="center"/>
                </w:tcPr>
                <w:p w14:paraId="53D8D519">
                  <w:pPr>
                    <w:spacing w:line="240" w:lineRule="auto"/>
                    <w:jc w:val="center"/>
                    <w:rPr>
                      <w:color w:val="auto"/>
                      <w:sz w:val="21"/>
                      <w:szCs w:val="21"/>
                      <w:highlight w:val="none"/>
                      <w:u w:val="none"/>
                    </w:rPr>
                  </w:pPr>
                </w:p>
              </w:tc>
              <w:tc>
                <w:tcPr>
                  <w:tcW w:w="1068" w:type="dxa"/>
                  <w:vAlign w:val="center"/>
                </w:tcPr>
                <w:p w14:paraId="3C975E17">
                  <w:pPr>
                    <w:spacing w:line="240" w:lineRule="auto"/>
                    <w:jc w:val="center"/>
                    <w:rPr>
                      <w:color w:val="auto"/>
                      <w:sz w:val="21"/>
                      <w:szCs w:val="21"/>
                      <w:highlight w:val="none"/>
                      <w:u w:val="none"/>
                      <w:lang w:val="en-US" w:eastAsia="zh-CN"/>
                    </w:rPr>
                  </w:pPr>
                  <w:r>
                    <w:rPr>
                      <w:color w:val="auto"/>
                      <w:sz w:val="21"/>
                      <w:szCs w:val="21"/>
                      <w:highlight w:val="none"/>
                      <w:u w:val="none"/>
                    </w:rPr>
                    <w:t>电磁辐射防治措施</w:t>
                  </w:r>
                </w:p>
              </w:tc>
              <w:tc>
                <w:tcPr>
                  <w:tcW w:w="4477" w:type="dxa"/>
                  <w:vAlign w:val="center"/>
                </w:tcPr>
                <w:p w14:paraId="32808D2D">
                  <w:pPr>
                    <w:keepNext w:val="0"/>
                    <w:keepLines w:val="0"/>
                    <w:pageBreakBefore w:val="0"/>
                    <w:widowControl w:val="0"/>
                    <w:kinsoku/>
                    <w:wordWrap/>
                    <w:overflowPunct/>
                    <w:topLinePunct w:val="0"/>
                    <w:autoSpaceDE/>
                    <w:autoSpaceDN/>
                    <w:bidi w:val="0"/>
                    <w:adjustRightInd/>
                    <w:snapToGrid w:val="0"/>
                    <w:spacing w:line="240" w:lineRule="auto"/>
                    <w:textAlignment w:val="auto"/>
                    <w:rPr>
                      <w:color w:val="auto"/>
                      <w:sz w:val="21"/>
                      <w:szCs w:val="21"/>
                      <w:highlight w:val="none"/>
                      <w:u w:val="none"/>
                    </w:rPr>
                  </w:pPr>
                  <w:r>
                    <w:rPr>
                      <w:rFonts w:hint="eastAsia"/>
                      <w:sz w:val="21"/>
                      <w:szCs w:val="21"/>
                      <w:highlight w:val="none"/>
                      <w:u w:val="none"/>
                    </w:rPr>
                    <w:t>在主变压器周边设置警示和防护指示标志。定期对站内电气设备进行检修，保证主变等运行良好。</w:t>
                  </w:r>
                </w:p>
              </w:tc>
              <w:tc>
                <w:tcPr>
                  <w:tcW w:w="647" w:type="dxa"/>
                  <w:vAlign w:val="center"/>
                </w:tcPr>
                <w:p w14:paraId="3105CA49">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3FA6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0911EF50">
                  <w:pPr>
                    <w:spacing w:line="240" w:lineRule="auto"/>
                    <w:jc w:val="center"/>
                    <w:rPr>
                      <w:color w:val="auto"/>
                      <w:sz w:val="21"/>
                      <w:szCs w:val="21"/>
                      <w:highlight w:val="none"/>
                      <w:u w:val="none"/>
                    </w:rPr>
                  </w:pPr>
                </w:p>
              </w:tc>
              <w:tc>
                <w:tcPr>
                  <w:tcW w:w="1068" w:type="dxa"/>
                  <w:vMerge w:val="continue"/>
                  <w:vAlign w:val="center"/>
                </w:tcPr>
                <w:p w14:paraId="23C77A71">
                  <w:pPr>
                    <w:spacing w:line="240" w:lineRule="auto"/>
                    <w:jc w:val="center"/>
                    <w:rPr>
                      <w:color w:val="auto"/>
                      <w:sz w:val="21"/>
                      <w:szCs w:val="21"/>
                      <w:highlight w:val="none"/>
                      <w:u w:val="none"/>
                    </w:rPr>
                  </w:pPr>
                </w:p>
              </w:tc>
              <w:tc>
                <w:tcPr>
                  <w:tcW w:w="1068" w:type="dxa"/>
                  <w:vAlign w:val="center"/>
                </w:tcPr>
                <w:p w14:paraId="0A63A31E">
                  <w:pPr>
                    <w:spacing w:line="240" w:lineRule="auto"/>
                    <w:jc w:val="center"/>
                    <w:rPr>
                      <w:color w:val="auto"/>
                      <w:sz w:val="21"/>
                      <w:szCs w:val="21"/>
                      <w:highlight w:val="none"/>
                      <w:u w:val="none"/>
                      <w:lang w:val="en-US" w:eastAsia="zh-CN"/>
                    </w:rPr>
                  </w:pPr>
                  <w:r>
                    <w:rPr>
                      <w:color w:val="auto"/>
                      <w:sz w:val="21"/>
                      <w:szCs w:val="21"/>
                      <w:highlight w:val="none"/>
                      <w:u w:val="none"/>
                    </w:rPr>
                    <w:t>固体废物防治措施</w:t>
                  </w:r>
                </w:p>
              </w:tc>
              <w:tc>
                <w:tcPr>
                  <w:tcW w:w="4477" w:type="dxa"/>
                  <w:vAlign w:val="center"/>
                </w:tcPr>
                <w:p w14:paraId="195CD315">
                  <w:pPr>
                    <w:spacing w:line="240" w:lineRule="auto"/>
                    <w:jc w:val="left"/>
                    <w:rPr>
                      <w:color w:val="auto"/>
                      <w:sz w:val="21"/>
                      <w:szCs w:val="21"/>
                      <w:highlight w:val="none"/>
                      <w:u w:val="none"/>
                    </w:rPr>
                  </w:pPr>
                  <w:r>
                    <w:rPr>
                      <w:color w:val="auto"/>
                      <w:sz w:val="21"/>
                      <w:szCs w:val="21"/>
                      <w:highlight w:val="none"/>
                      <w:u w:val="none"/>
                    </w:rPr>
                    <w:t>本期</w:t>
                  </w:r>
                  <w:r>
                    <w:rPr>
                      <w:rFonts w:hint="eastAsia"/>
                      <w:color w:val="auto"/>
                      <w:sz w:val="21"/>
                      <w:szCs w:val="21"/>
                      <w:highlight w:val="none"/>
                      <w:u w:val="none"/>
                      <w:lang w:val="en-US" w:eastAsia="zh-CN"/>
                    </w:rPr>
                    <w:t>依托</w:t>
                  </w:r>
                  <w:r>
                    <w:rPr>
                      <w:rFonts w:hint="eastAsia"/>
                      <w:color w:val="auto"/>
                      <w:sz w:val="21"/>
                      <w:szCs w:val="21"/>
                      <w:highlight w:val="none"/>
                      <w:u w:val="none"/>
                    </w:rPr>
                    <w:t>原有事故油池，</w:t>
                  </w:r>
                  <w:r>
                    <w:rPr>
                      <w:color w:val="auto"/>
                      <w:sz w:val="21"/>
                      <w:szCs w:val="21"/>
                      <w:highlight w:val="none"/>
                      <w:u w:val="none"/>
                    </w:rPr>
                    <w:t>有效容积</w:t>
                  </w:r>
                  <w:r>
                    <w:rPr>
                      <w:rFonts w:hint="eastAsia"/>
                      <w:color w:val="auto"/>
                      <w:sz w:val="21"/>
                      <w:szCs w:val="21"/>
                      <w:highlight w:val="none"/>
                      <w:u w:val="none"/>
                      <w:lang w:val="en-US" w:eastAsia="zh-CN"/>
                    </w:rPr>
                    <w:t>65</w:t>
                  </w:r>
                  <w:r>
                    <w:rPr>
                      <w:color w:val="auto"/>
                      <w:sz w:val="21"/>
                      <w:szCs w:val="21"/>
                      <w:highlight w:val="none"/>
                      <w:u w:val="none"/>
                    </w:rPr>
                    <w:t>m</w:t>
                  </w:r>
                  <w:r>
                    <w:rPr>
                      <w:color w:val="auto"/>
                      <w:sz w:val="21"/>
                      <w:szCs w:val="21"/>
                      <w:highlight w:val="none"/>
                      <w:u w:val="none"/>
                      <w:vertAlign w:val="superscript"/>
                    </w:rPr>
                    <w:t>3</w:t>
                  </w:r>
                  <w:r>
                    <w:rPr>
                      <w:color w:val="auto"/>
                      <w:sz w:val="21"/>
                      <w:szCs w:val="21"/>
                      <w:highlight w:val="none"/>
                      <w:u w:val="none"/>
                    </w:rPr>
                    <w:t>。</w:t>
                  </w:r>
                  <w:r>
                    <w:rPr>
                      <w:rFonts w:hint="eastAsia"/>
                      <w:color w:val="auto"/>
                      <w:sz w:val="21"/>
                      <w:szCs w:val="21"/>
                      <w:highlight w:val="none"/>
                      <w:u w:val="none"/>
                      <w:lang w:val="en-US" w:eastAsia="zh-CN"/>
                    </w:rPr>
                    <w:t>运行期</w:t>
                  </w:r>
                  <w:r>
                    <w:rPr>
                      <w:color w:val="auto"/>
                      <w:sz w:val="21"/>
                      <w:szCs w:val="21"/>
                      <w:highlight w:val="none"/>
                      <w:u w:val="none"/>
                    </w:rPr>
                    <w:t>产生的废变压器油、废蓄电池</w:t>
                  </w:r>
                  <w:r>
                    <w:rPr>
                      <w:rFonts w:hint="eastAsia"/>
                      <w:sz w:val="21"/>
                      <w:szCs w:val="21"/>
                      <w:highlight w:val="none"/>
                      <w:u w:val="none"/>
                    </w:rPr>
                    <w:t>应交由相应危险废物处理资质的单位进行处置</w:t>
                  </w:r>
                  <w:r>
                    <w:rPr>
                      <w:rFonts w:hint="eastAsia"/>
                      <w:sz w:val="21"/>
                      <w:szCs w:val="21"/>
                      <w:highlight w:val="none"/>
                      <w:u w:val="none"/>
                      <w:lang w:eastAsia="zh-CN"/>
                    </w:rPr>
                    <w:t>（当天产生当天电话通知资质单位现场处理回收）</w:t>
                  </w:r>
                  <w:r>
                    <w:rPr>
                      <w:color w:val="auto"/>
                      <w:sz w:val="21"/>
                      <w:szCs w:val="21"/>
                      <w:highlight w:val="none"/>
                      <w:u w:val="none"/>
                    </w:rPr>
                    <w:t>。</w:t>
                  </w:r>
                  <w:r>
                    <w:rPr>
                      <w:rFonts w:hint="eastAsia"/>
                      <w:color w:val="auto"/>
                      <w:kern w:val="0"/>
                      <w:sz w:val="21"/>
                      <w:szCs w:val="21"/>
                      <w:highlight w:val="none"/>
                      <w:u w:val="none"/>
                      <w:lang w:val="en-US" w:eastAsia="zh-CN"/>
                    </w:rPr>
                    <w:t>本期扩建工程总开挖量为491m</w:t>
                  </w:r>
                  <w:r>
                    <w:rPr>
                      <w:rFonts w:hint="eastAsia"/>
                      <w:color w:val="auto"/>
                      <w:kern w:val="0"/>
                      <w:sz w:val="21"/>
                      <w:szCs w:val="21"/>
                      <w:highlight w:val="none"/>
                      <w:u w:val="none"/>
                      <w:vertAlign w:val="superscript"/>
                      <w:lang w:val="en-US" w:eastAsia="zh-CN"/>
                    </w:rPr>
                    <w:t>3</w:t>
                  </w:r>
                  <w:r>
                    <w:rPr>
                      <w:rFonts w:hint="eastAsia"/>
                      <w:color w:val="auto"/>
                      <w:kern w:val="0"/>
                      <w:sz w:val="21"/>
                      <w:szCs w:val="21"/>
                      <w:highlight w:val="none"/>
                      <w:u w:val="none"/>
                      <w:lang w:val="en-US" w:eastAsia="zh-CN"/>
                    </w:rPr>
                    <w:t>，回填量为291m</w:t>
                  </w:r>
                  <w:r>
                    <w:rPr>
                      <w:rFonts w:hint="eastAsia"/>
                      <w:color w:val="auto"/>
                      <w:kern w:val="0"/>
                      <w:sz w:val="21"/>
                      <w:szCs w:val="21"/>
                      <w:highlight w:val="none"/>
                      <w:u w:val="none"/>
                      <w:vertAlign w:val="superscript"/>
                      <w:lang w:val="en-US" w:eastAsia="zh-CN"/>
                    </w:rPr>
                    <w:t>3</w:t>
                  </w:r>
                  <w:r>
                    <w:rPr>
                      <w:rFonts w:hint="eastAsia"/>
                      <w:color w:val="auto"/>
                      <w:kern w:val="0"/>
                      <w:sz w:val="21"/>
                      <w:szCs w:val="21"/>
                      <w:highlight w:val="none"/>
                      <w:u w:val="none"/>
                      <w:lang w:val="en-US" w:eastAsia="zh-CN"/>
                    </w:rPr>
                    <w:t>，经土石方平衡后，产生临时弃土200m</w:t>
                  </w:r>
                  <w:r>
                    <w:rPr>
                      <w:rFonts w:hint="eastAsia"/>
                      <w:color w:val="auto"/>
                      <w:kern w:val="0"/>
                      <w:sz w:val="21"/>
                      <w:szCs w:val="21"/>
                      <w:highlight w:val="none"/>
                      <w:u w:val="none"/>
                      <w:vertAlign w:val="superscript"/>
                      <w:lang w:val="en-US" w:eastAsia="zh-CN"/>
                    </w:rPr>
                    <w:t>3</w:t>
                  </w:r>
                  <w:r>
                    <w:rPr>
                      <w:rFonts w:hint="eastAsia"/>
                      <w:color w:val="auto"/>
                      <w:kern w:val="0"/>
                      <w:sz w:val="21"/>
                      <w:szCs w:val="21"/>
                      <w:highlight w:val="none"/>
                      <w:u w:val="none"/>
                      <w:lang w:val="en-US" w:eastAsia="zh-CN"/>
                    </w:rPr>
                    <w:t>。变电站扩建工程土石方工程量较小，产生的少量临时余土运送至指定地点。</w:t>
                  </w:r>
                </w:p>
              </w:tc>
              <w:tc>
                <w:tcPr>
                  <w:tcW w:w="647" w:type="dxa"/>
                  <w:vAlign w:val="center"/>
                </w:tcPr>
                <w:p w14:paraId="4C48D1EB">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17C3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2" w:type="dxa"/>
                  <w:vMerge w:val="continue"/>
                  <w:vAlign w:val="center"/>
                </w:tcPr>
                <w:p w14:paraId="093E27BB">
                  <w:pPr>
                    <w:spacing w:line="240" w:lineRule="auto"/>
                    <w:jc w:val="center"/>
                    <w:rPr>
                      <w:color w:val="auto"/>
                      <w:sz w:val="21"/>
                      <w:szCs w:val="21"/>
                      <w:highlight w:val="none"/>
                      <w:u w:val="none"/>
                    </w:rPr>
                  </w:pPr>
                </w:p>
              </w:tc>
              <w:tc>
                <w:tcPr>
                  <w:tcW w:w="1068" w:type="dxa"/>
                  <w:vMerge w:val="continue"/>
                  <w:vAlign w:val="center"/>
                </w:tcPr>
                <w:p w14:paraId="244E391B">
                  <w:pPr>
                    <w:spacing w:line="240" w:lineRule="auto"/>
                    <w:jc w:val="center"/>
                    <w:rPr>
                      <w:color w:val="auto"/>
                      <w:sz w:val="21"/>
                      <w:szCs w:val="21"/>
                      <w:highlight w:val="none"/>
                      <w:u w:val="none"/>
                    </w:rPr>
                  </w:pPr>
                </w:p>
              </w:tc>
              <w:tc>
                <w:tcPr>
                  <w:tcW w:w="1068" w:type="dxa"/>
                  <w:vAlign w:val="center"/>
                </w:tcPr>
                <w:p w14:paraId="66414FDA">
                  <w:pPr>
                    <w:spacing w:line="240" w:lineRule="auto"/>
                    <w:jc w:val="center"/>
                    <w:rPr>
                      <w:rFonts w:ascii="Times New Roman" w:hAnsi="Times New Roman" w:eastAsia="宋体" w:cs="Times New Roman"/>
                      <w:color w:val="auto"/>
                      <w:kern w:val="2"/>
                      <w:sz w:val="21"/>
                      <w:szCs w:val="21"/>
                      <w:highlight w:val="none"/>
                      <w:u w:val="none"/>
                      <w:lang w:val="en-US" w:eastAsia="zh-CN" w:bidi="ar-SA"/>
                    </w:rPr>
                  </w:pPr>
                  <w:r>
                    <w:rPr>
                      <w:color w:val="auto"/>
                      <w:sz w:val="21"/>
                      <w:szCs w:val="21"/>
                      <w:highlight w:val="none"/>
                      <w:u w:val="none"/>
                    </w:rPr>
                    <w:t>环境风险防治措施</w:t>
                  </w:r>
                </w:p>
              </w:tc>
              <w:tc>
                <w:tcPr>
                  <w:tcW w:w="4477" w:type="dxa"/>
                  <w:vAlign w:val="center"/>
                </w:tcPr>
                <w:p w14:paraId="37BB3F4B">
                  <w:pPr>
                    <w:keepNext w:val="0"/>
                    <w:keepLines w:val="0"/>
                    <w:pageBreakBefore w:val="0"/>
                    <w:widowControl w:val="0"/>
                    <w:kinsoku/>
                    <w:wordWrap/>
                    <w:overflowPunct/>
                    <w:topLinePunct w:val="0"/>
                    <w:autoSpaceDE/>
                    <w:autoSpaceDN/>
                    <w:bidi w:val="0"/>
                    <w:adjustRightInd/>
                    <w:snapToGrid w:val="0"/>
                    <w:spacing w:line="240" w:lineRule="auto"/>
                    <w:textAlignment w:val="auto"/>
                    <w:rPr>
                      <w:color w:val="auto"/>
                      <w:sz w:val="21"/>
                      <w:szCs w:val="21"/>
                      <w:highlight w:val="none"/>
                      <w:u w:val="none"/>
                    </w:rPr>
                  </w:pPr>
                  <w:r>
                    <w:rPr>
                      <w:rFonts w:hint="eastAsia"/>
                      <w:i w:val="0"/>
                      <w:iCs w:val="0"/>
                      <w:sz w:val="21"/>
                      <w:szCs w:val="21"/>
                      <w:highlight w:val="none"/>
                      <w:u w:val="none"/>
                    </w:rPr>
                    <w:t>设备事故时有可能泄漏变压器油，污染环境。变压器与事故油池相连，万一发生事故时漏油将全部排入事故油池，委托有危险废物处理资质的单位依法合规地进行回收、处置，不外排。</w:t>
                  </w:r>
                </w:p>
              </w:tc>
              <w:tc>
                <w:tcPr>
                  <w:tcW w:w="647" w:type="dxa"/>
                  <w:vAlign w:val="center"/>
                </w:tcPr>
                <w:p w14:paraId="046527CC">
                  <w:pPr>
                    <w:spacing w:line="240" w:lineRule="auto"/>
                    <w:jc w:val="center"/>
                    <w:rPr>
                      <w:color w:val="auto"/>
                      <w:sz w:val="21"/>
                      <w:szCs w:val="21"/>
                      <w:highlight w:val="none"/>
                      <w:u w:val="none"/>
                    </w:rPr>
                  </w:pPr>
                  <w:r>
                    <w:rPr>
                      <w:rFonts w:hint="eastAsia"/>
                      <w:color w:val="auto"/>
                      <w:sz w:val="21"/>
                      <w:szCs w:val="21"/>
                      <w:highlight w:val="none"/>
                      <w:u w:val="none"/>
                      <w:lang w:val="en-US" w:eastAsia="zh-CN"/>
                    </w:rPr>
                    <w:t>/</w:t>
                  </w:r>
                </w:p>
              </w:tc>
            </w:tr>
            <w:tr w14:paraId="4229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2" w:type="dxa"/>
                  <w:vMerge w:val="continue"/>
                  <w:vAlign w:val="center"/>
                </w:tcPr>
                <w:p w14:paraId="4F7DAF2E">
                  <w:pPr>
                    <w:spacing w:line="240" w:lineRule="auto"/>
                    <w:jc w:val="center"/>
                    <w:rPr>
                      <w:color w:val="auto"/>
                      <w:sz w:val="21"/>
                      <w:szCs w:val="21"/>
                      <w:highlight w:val="none"/>
                      <w:u w:val="none"/>
                    </w:rPr>
                  </w:pPr>
                </w:p>
              </w:tc>
              <w:tc>
                <w:tcPr>
                  <w:tcW w:w="1068" w:type="dxa"/>
                  <w:vAlign w:val="center"/>
                </w:tcPr>
                <w:p w14:paraId="5BBDD19B">
                  <w:pPr>
                    <w:spacing w:line="240" w:lineRule="auto"/>
                    <w:jc w:val="center"/>
                    <w:rPr>
                      <w:color w:val="auto"/>
                      <w:sz w:val="21"/>
                      <w:szCs w:val="21"/>
                      <w:highlight w:val="none"/>
                      <w:u w:val="none"/>
                    </w:rPr>
                  </w:pPr>
                  <w:r>
                    <w:rPr>
                      <w:rFonts w:hint="eastAsia"/>
                      <w:color w:val="auto"/>
                      <w:sz w:val="21"/>
                      <w:szCs w:val="21"/>
                      <w:highlight w:val="none"/>
                      <w:u w:val="none"/>
                      <w:lang w:val="en-US" w:eastAsia="zh-CN"/>
                    </w:rPr>
                    <w:t>公用工程</w:t>
                  </w:r>
                </w:p>
              </w:tc>
              <w:tc>
                <w:tcPr>
                  <w:tcW w:w="1068" w:type="dxa"/>
                  <w:vAlign w:val="center"/>
                </w:tcPr>
                <w:p w14:paraId="1539A7A5">
                  <w:pPr>
                    <w:spacing w:line="240" w:lineRule="auto"/>
                    <w:jc w:val="center"/>
                    <w:rPr>
                      <w:color w:val="auto"/>
                      <w:sz w:val="21"/>
                      <w:szCs w:val="21"/>
                      <w:highlight w:val="none"/>
                      <w:u w:val="none"/>
                    </w:rPr>
                  </w:pPr>
                  <w:r>
                    <w:rPr>
                      <w:color w:val="auto"/>
                      <w:sz w:val="21"/>
                      <w:szCs w:val="21"/>
                      <w:highlight w:val="none"/>
                      <w:u w:val="none"/>
                    </w:rPr>
                    <w:t>排水系统</w:t>
                  </w:r>
                </w:p>
              </w:tc>
              <w:tc>
                <w:tcPr>
                  <w:tcW w:w="4477" w:type="dxa"/>
                  <w:vAlign w:val="center"/>
                </w:tcPr>
                <w:p w14:paraId="2A9E74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i w:val="0"/>
                      <w:iCs w:val="0"/>
                      <w:sz w:val="21"/>
                      <w:szCs w:val="21"/>
                      <w:highlight w:val="none"/>
                      <w:u w:val="none"/>
                    </w:rPr>
                  </w:pPr>
                  <w:r>
                    <w:rPr>
                      <w:rFonts w:hint="eastAsia" w:ascii="宋体" w:hAnsi="宋体" w:eastAsia="宋体"/>
                      <w:i w:val="0"/>
                      <w:iCs w:val="0"/>
                      <w:sz w:val="21"/>
                      <w:szCs w:val="21"/>
                      <w:highlight w:val="none"/>
                      <w:u w:val="none"/>
                    </w:rPr>
                    <w:t>值班值守人员产生的生活污水经化粪池处理后用于站内绿化，不外排；站内雨水经雨水排水管收集后排入站外排水沟。</w:t>
                  </w:r>
                </w:p>
              </w:tc>
              <w:tc>
                <w:tcPr>
                  <w:tcW w:w="647" w:type="dxa"/>
                  <w:vAlign w:val="center"/>
                </w:tcPr>
                <w:p w14:paraId="35889D28">
                  <w:pPr>
                    <w:spacing w:line="240" w:lineRule="auto"/>
                    <w:jc w:val="center"/>
                    <w:rPr>
                      <w:rFonts w:hint="eastAsia"/>
                      <w:color w:val="auto"/>
                      <w:sz w:val="21"/>
                      <w:szCs w:val="21"/>
                      <w:highlight w:val="none"/>
                      <w:u w:val="none"/>
                    </w:rPr>
                  </w:pPr>
                  <w:r>
                    <w:rPr>
                      <w:rFonts w:hint="eastAsia"/>
                      <w:color w:val="auto"/>
                      <w:sz w:val="21"/>
                      <w:szCs w:val="21"/>
                      <w:highlight w:val="none"/>
                      <w:u w:val="none"/>
                      <w:lang w:val="en-US" w:eastAsia="zh-CN"/>
                    </w:rPr>
                    <w:t>/</w:t>
                  </w:r>
                </w:p>
              </w:tc>
            </w:tr>
          </w:tbl>
          <w:p w14:paraId="2D02F361">
            <w:pPr>
              <w:pStyle w:val="11"/>
              <w:ind w:left="480" w:firstLine="480"/>
              <w:rPr>
                <w:szCs w:val="24"/>
                <w:u w:val="none"/>
              </w:rPr>
            </w:pPr>
          </w:p>
        </w:tc>
      </w:tr>
      <w:tr w14:paraId="4D7C4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710" w:type="dxa"/>
            <w:vAlign w:val="center"/>
          </w:tcPr>
          <w:p w14:paraId="2FE3C804">
            <w:pPr>
              <w:adjustRightInd w:val="0"/>
              <w:snapToGrid w:val="0"/>
              <w:jc w:val="center"/>
              <w:rPr>
                <w:kern w:val="0"/>
                <w:u w:val="none"/>
              </w:rPr>
            </w:pPr>
            <w:r>
              <w:rPr>
                <w:kern w:val="0"/>
                <w:u w:val="none"/>
              </w:rPr>
              <w:t>总平面及现场布置</w:t>
            </w:r>
          </w:p>
        </w:tc>
        <w:tc>
          <w:tcPr>
            <w:tcW w:w="8380" w:type="dxa"/>
            <w:vAlign w:val="center"/>
          </w:tcPr>
          <w:p w14:paraId="56B6AEF6">
            <w:pPr>
              <w:rPr>
                <w:b/>
                <w:u w:val="none"/>
              </w:rPr>
            </w:pPr>
            <w:r>
              <w:rPr>
                <w:b/>
                <w:u w:val="none"/>
              </w:rPr>
              <w:t>2.3工程布局</w:t>
            </w:r>
          </w:p>
          <w:p w14:paraId="71E47C30">
            <w:pPr>
              <w:ind w:firstLine="480"/>
              <w:rPr>
                <w:rFonts w:hint="default" w:eastAsia="宋体"/>
                <w:u w:val="none"/>
                <w:lang w:val="en-US" w:eastAsia="zh-CN"/>
              </w:rPr>
            </w:pPr>
            <w:r>
              <w:rPr>
                <w:rFonts w:hint="eastAsia"/>
                <w:u w:val="none"/>
              </w:rPr>
              <w:t>站区场地东西向长147.5m，南北向宽163m，站区围墙内站址面积：2.4043hm</w:t>
            </w:r>
            <w:r>
              <w:rPr>
                <w:rFonts w:hint="eastAsia"/>
                <w:u w:val="none"/>
                <w:vertAlign w:val="superscript"/>
              </w:rPr>
              <w:t>2</w:t>
            </w:r>
            <w:r>
              <w:rPr>
                <w:rFonts w:hint="eastAsia"/>
                <w:u w:val="none"/>
              </w:rPr>
              <w:t>。站区大门和警传室布置在站区西北角处，220kV屋外配电装置布置在场地的东面，110kV配电装置分别布置于站区的南面和北面，110kV屋外配电装置之间由东向西依次布置主变压器、10kV高压室、主控通信楼和电容器。站区内各配电装置区均设环形道路，以满足交通和消防要求。在站区内围墙边、道路两旁及主建筑周边种植低矮花木且以花草为主。户外配电装置均采用草坪绿化。前期工程已经建设完成主控通信楼、警传室、构架、事故油池、污水处理设备、道路、电缆主沟、#1主变以及对应的10kV配电装置室、户外电容器、接地变等主要建(构)筑物。</w:t>
            </w:r>
            <w:r>
              <w:rPr>
                <w:rFonts w:hint="eastAsia"/>
                <w:u w:val="none"/>
                <w:lang w:val="en-US" w:eastAsia="zh-CN"/>
              </w:rPr>
              <w:t>扩建后平面布置见附图6。</w:t>
            </w:r>
          </w:p>
          <w:p w14:paraId="65E60BDF">
            <w:pPr>
              <w:ind w:firstLine="480"/>
              <w:rPr>
                <w:b/>
                <w:bCs/>
                <w:u w:val="none"/>
              </w:rPr>
            </w:pPr>
            <w:r>
              <w:rPr>
                <w:rFonts w:hint="eastAsia"/>
                <w:u w:val="none"/>
              </w:rPr>
              <w:t>本期扩建工程主要是在10kV配电装置室与220kV配电装置区域之间的预留空地上扩建#2主变，同时在110kV、220kV配电装置场地的预留间隔中分别扩建#2主变间隔</w:t>
            </w:r>
            <w:r>
              <w:rPr>
                <w:rFonts w:hint="eastAsia"/>
                <w:u w:val="none"/>
                <w:lang w:val="en-US" w:eastAsia="zh-CN"/>
              </w:rPr>
              <w:t>及</w:t>
            </w:r>
            <w:r>
              <w:rPr>
                <w:rFonts w:hint="eastAsia"/>
                <w:u w:val="none"/>
              </w:rPr>
              <w:t>相配套的电缆支沟、操作小道、给排水及消防灭火系统。180MVA主变压器主变压器单台主变总油量</w:t>
            </w:r>
            <w:r>
              <w:rPr>
                <w:rFonts w:hint="eastAsia"/>
                <w:u w:val="none"/>
                <w:lang w:val="en-US" w:eastAsia="zh-CN"/>
              </w:rPr>
              <w:t>约</w:t>
            </w:r>
            <w:r>
              <w:rPr>
                <w:rFonts w:hint="eastAsia"/>
                <w:u w:val="none"/>
              </w:rPr>
              <w:t>为49800kg~54100kg，油量体积约为55.30m³~60.1m³。本扩建</w:t>
            </w:r>
            <w:r>
              <w:rPr>
                <w:rFonts w:hint="eastAsia"/>
                <w:u w:val="none"/>
                <w:lang w:val="en-US" w:eastAsia="zh-CN"/>
              </w:rPr>
              <w:t>工程</w:t>
            </w:r>
            <w:r>
              <w:rPr>
                <w:rFonts w:hint="eastAsia"/>
                <w:u w:val="none"/>
              </w:rPr>
              <w:t>依托果山站原有事故油池，容积为65.0m³，</w:t>
            </w:r>
            <w:r>
              <w:rPr>
                <w:u w:val="none"/>
              </w:rPr>
              <w:t>满足</w:t>
            </w:r>
            <w:r>
              <w:rPr>
                <w:rFonts w:hint="eastAsia"/>
                <w:u w:val="none"/>
              </w:rPr>
              <w:t>《火力发电厂与变电站设计防火标准》(GB5022-2019)</w:t>
            </w:r>
            <w:r>
              <w:rPr>
                <w:u w:val="none"/>
              </w:rPr>
              <w:t>中</w:t>
            </w:r>
            <w:r>
              <w:rPr>
                <w:rFonts w:hint="eastAsia"/>
                <w:u w:val="none"/>
              </w:rPr>
              <w:t>可满足在事故状态下最大一台主变的100%油量</w:t>
            </w:r>
            <w:r>
              <w:rPr>
                <w:u w:val="none"/>
              </w:rPr>
              <w:t>。</w:t>
            </w:r>
            <w:r>
              <w:rPr>
                <w:rFonts w:hint="eastAsia"/>
                <w:u w:val="none"/>
              </w:rPr>
              <w:t>本期扩建场地</w:t>
            </w:r>
            <w:r>
              <w:rPr>
                <w:u w:val="none"/>
              </w:rPr>
              <w:t>均具备合法的征地手续及相关文件</w:t>
            </w:r>
            <w:r>
              <w:rPr>
                <w:rFonts w:hint="eastAsia"/>
                <w:u w:val="none"/>
              </w:rPr>
              <w:t>。</w:t>
            </w:r>
          </w:p>
          <w:p w14:paraId="0A8166C2">
            <w:pPr>
              <w:adjustRightInd w:val="0"/>
              <w:snapToGrid w:val="0"/>
              <w:rPr>
                <w:b/>
                <w:bCs/>
                <w:kern w:val="0"/>
                <w:szCs w:val="21"/>
                <w:u w:val="none"/>
              </w:rPr>
            </w:pPr>
            <w:r>
              <w:rPr>
                <w:b/>
                <w:bCs/>
                <w:kern w:val="0"/>
                <w:szCs w:val="21"/>
                <w:u w:val="none"/>
              </w:rPr>
              <w:t>2.4工程占地及土石方量</w:t>
            </w:r>
          </w:p>
          <w:p w14:paraId="447FEDD8">
            <w:pPr>
              <w:adjustRightInd w:val="0"/>
              <w:snapToGrid w:val="0"/>
              <w:rPr>
                <w:kern w:val="0"/>
                <w:szCs w:val="21"/>
                <w:u w:val="none"/>
              </w:rPr>
            </w:pPr>
            <w:r>
              <w:rPr>
                <w:kern w:val="0"/>
                <w:szCs w:val="21"/>
                <w:u w:val="none"/>
              </w:rPr>
              <w:t>a)工程占地</w:t>
            </w:r>
          </w:p>
          <w:p w14:paraId="4027CF5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eastAsia="宋体" w:cs="Times New Roman"/>
                <w:color w:val="auto"/>
                <w:kern w:val="0"/>
                <w:sz w:val="24"/>
                <w:szCs w:val="24"/>
                <w:highlight w:val="none"/>
                <w:u w:val="none"/>
                <w:lang w:val="en-US" w:eastAsia="zh-CN"/>
              </w:rPr>
            </w:pPr>
            <w:r>
              <w:rPr>
                <w:rFonts w:hint="eastAsia"/>
                <w:kern w:val="0"/>
                <w:szCs w:val="21"/>
                <w:u w:val="none"/>
              </w:rPr>
              <w:t>本工程变电站占地类型为建设用地。</w:t>
            </w:r>
            <w:r>
              <w:rPr>
                <w:rFonts w:hint="eastAsia" w:ascii="Times New Roman" w:hAnsi="Times New Roman" w:eastAsia="宋体" w:cs="Times New Roman"/>
                <w:color w:val="auto"/>
                <w:kern w:val="0"/>
                <w:sz w:val="24"/>
                <w:szCs w:val="24"/>
                <w:highlight w:val="none"/>
                <w:u w:val="none"/>
                <w:lang w:val="en-US" w:eastAsia="zh-CN"/>
              </w:rPr>
              <w:t>本工程变电站永久占地面积3.13hm</w:t>
            </w:r>
            <w:r>
              <w:rPr>
                <w:rFonts w:hint="eastAsia" w:ascii="Times New Roman" w:hAnsi="Times New Roman" w:eastAsia="宋体" w:cs="Times New Roman"/>
                <w:color w:val="auto"/>
                <w:kern w:val="0"/>
                <w:sz w:val="24"/>
                <w:szCs w:val="24"/>
                <w:highlight w:val="none"/>
                <w:u w:val="none"/>
                <w:vertAlign w:val="superscript"/>
                <w:lang w:val="en-US" w:eastAsia="zh-CN"/>
              </w:rPr>
              <w:t>2</w:t>
            </w:r>
            <w:r>
              <w:rPr>
                <w:rFonts w:hint="eastAsia" w:ascii="Times New Roman" w:hAnsi="Times New Roman" w:eastAsia="宋体" w:cs="Times New Roman"/>
                <w:color w:val="auto"/>
                <w:kern w:val="0"/>
                <w:sz w:val="24"/>
                <w:szCs w:val="24"/>
                <w:highlight w:val="none"/>
                <w:u w:val="none"/>
                <w:lang w:val="en-US" w:eastAsia="zh-CN"/>
              </w:rPr>
              <w:t>，本期扩建工程在变电站围墙内进行，不新</w:t>
            </w:r>
            <w:r>
              <w:rPr>
                <w:rFonts w:hint="eastAsia" w:cs="Times New Roman"/>
                <w:color w:val="auto"/>
                <w:kern w:val="0"/>
                <w:sz w:val="24"/>
                <w:szCs w:val="24"/>
                <w:highlight w:val="none"/>
                <w:u w:val="none"/>
                <w:lang w:val="en-US" w:eastAsia="zh-CN"/>
              </w:rPr>
              <w:t>增</w:t>
            </w:r>
            <w:r>
              <w:rPr>
                <w:rFonts w:hint="eastAsia" w:ascii="Times New Roman" w:hAnsi="Times New Roman" w:eastAsia="宋体" w:cs="Times New Roman"/>
                <w:color w:val="auto"/>
                <w:kern w:val="0"/>
                <w:sz w:val="24"/>
                <w:szCs w:val="24"/>
                <w:highlight w:val="none"/>
                <w:u w:val="none"/>
                <w:lang w:val="en-US" w:eastAsia="zh-CN"/>
              </w:rPr>
              <w:t>用地。</w:t>
            </w:r>
          </w:p>
          <w:p w14:paraId="699E7D9A">
            <w:pPr>
              <w:adjustRightInd w:val="0"/>
              <w:snapToGrid w:val="0"/>
              <w:rPr>
                <w:kern w:val="0"/>
                <w:szCs w:val="21"/>
                <w:highlight w:val="none"/>
                <w:u w:val="none"/>
              </w:rPr>
            </w:pPr>
            <w:r>
              <w:rPr>
                <w:kern w:val="0"/>
                <w:szCs w:val="21"/>
                <w:highlight w:val="none"/>
                <w:u w:val="none"/>
              </w:rPr>
              <w:t>b)土石方量</w:t>
            </w:r>
          </w:p>
          <w:p w14:paraId="38EC812B">
            <w:pPr>
              <w:adjustRightInd w:val="0"/>
              <w:snapToGrid w:val="0"/>
              <w:ind w:firstLine="480" w:firstLineChars="200"/>
              <w:rPr>
                <w:kern w:val="0"/>
                <w:sz w:val="24"/>
                <w:szCs w:val="24"/>
                <w:highlight w:val="none"/>
                <w:u w:val="none"/>
              </w:rPr>
            </w:pPr>
            <w:r>
              <w:rPr>
                <w:rFonts w:hint="eastAsia"/>
                <w:color w:val="auto"/>
                <w:kern w:val="0"/>
                <w:sz w:val="24"/>
                <w:szCs w:val="24"/>
                <w:highlight w:val="none"/>
                <w:u w:val="none"/>
                <w:lang w:val="en-US" w:eastAsia="zh-CN"/>
              </w:rPr>
              <w:t>本期扩建工程总开挖量为491m</w:t>
            </w:r>
            <w:r>
              <w:rPr>
                <w:rFonts w:hint="eastAsia"/>
                <w:color w:val="auto"/>
                <w:kern w:val="0"/>
                <w:sz w:val="24"/>
                <w:szCs w:val="24"/>
                <w:highlight w:val="none"/>
                <w:u w:val="none"/>
                <w:vertAlign w:val="superscript"/>
                <w:lang w:val="en-US" w:eastAsia="zh-CN"/>
              </w:rPr>
              <w:t>3</w:t>
            </w:r>
            <w:r>
              <w:rPr>
                <w:rFonts w:hint="eastAsia"/>
                <w:color w:val="auto"/>
                <w:kern w:val="0"/>
                <w:sz w:val="24"/>
                <w:szCs w:val="24"/>
                <w:highlight w:val="none"/>
                <w:u w:val="none"/>
                <w:lang w:val="en-US" w:eastAsia="zh-CN"/>
              </w:rPr>
              <w:t>，回填量为291m</w:t>
            </w:r>
            <w:r>
              <w:rPr>
                <w:rFonts w:hint="eastAsia"/>
                <w:color w:val="auto"/>
                <w:kern w:val="0"/>
                <w:sz w:val="24"/>
                <w:szCs w:val="24"/>
                <w:highlight w:val="none"/>
                <w:u w:val="none"/>
                <w:vertAlign w:val="superscript"/>
                <w:lang w:val="en-US" w:eastAsia="zh-CN"/>
              </w:rPr>
              <w:t>3</w:t>
            </w:r>
            <w:r>
              <w:rPr>
                <w:rFonts w:hint="eastAsia"/>
                <w:color w:val="auto"/>
                <w:kern w:val="0"/>
                <w:sz w:val="24"/>
                <w:szCs w:val="24"/>
                <w:highlight w:val="none"/>
                <w:u w:val="none"/>
                <w:lang w:val="en-US" w:eastAsia="zh-CN"/>
              </w:rPr>
              <w:t>，经土石方平衡后，产生临时弃土200m</w:t>
            </w:r>
            <w:r>
              <w:rPr>
                <w:rFonts w:hint="eastAsia"/>
                <w:color w:val="auto"/>
                <w:kern w:val="0"/>
                <w:sz w:val="24"/>
                <w:szCs w:val="24"/>
                <w:highlight w:val="none"/>
                <w:u w:val="none"/>
                <w:vertAlign w:val="superscript"/>
                <w:lang w:val="en-US" w:eastAsia="zh-CN"/>
              </w:rPr>
              <w:t>3</w:t>
            </w:r>
            <w:r>
              <w:rPr>
                <w:rFonts w:hint="eastAsia"/>
                <w:color w:val="auto"/>
                <w:kern w:val="0"/>
                <w:sz w:val="24"/>
                <w:szCs w:val="24"/>
                <w:highlight w:val="none"/>
                <w:u w:val="none"/>
                <w:lang w:val="en-US" w:eastAsia="zh-CN"/>
              </w:rPr>
              <w:t>。变电站扩建工程土石方工程量较小，产生的少量临时余土运送至指定地点</w:t>
            </w:r>
            <w:r>
              <w:rPr>
                <w:kern w:val="0"/>
                <w:sz w:val="24"/>
                <w:szCs w:val="24"/>
                <w:highlight w:val="none"/>
                <w:u w:val="none"/>
              </w:rPr>
              <w:t>。</w:t>
            </w:r>
          </w:p>
          <w:p w14:paraId="1D304E83">
            <w:pPr>
              <w:tabs>
                <w:tab w:val="left" w:pos="1336"/>
              </w:tabs>
              <w:rPr>
                <w:b/>
                <w:bCs/>
                <w:u w:val="none"/>
              </w:rPr>
            </w:pPr>
            <w:r>
              <w:rPr>
                <w:rFonts w:hint="eastAsia"/>
                <w:b/>
                <w:bCs/>
                <w:u w:val="none"/>
              </w:rPr>
              <w:t>2.5施工布置</w:t>
            </w:r>
          </w:p>
          <w:p w14:paraId="7C038DF7">
            <w:pPr>
              <w:tabs>
                <w:tab w:val="left" w:pos="1336"/>
              </w:tabs>
              <w:ind w:firstLine="480"/>
              <w:rPr>
                <w:u w:val="none"/>
              </w:rPr>
            </w:pPr>
            <w:r>
              <w:rPr>
                <w:rFonts w:hint="eastAsia"/>
                <w:kern w:val="0"/>
                <w:szCs w:val="21"/>
                <w:highlight w:val="none"/>
                <w:u w:val="none"/>
              </w:rPr>
              <w:t>本期为扩建工程，建设均在站内进行，不新增用地，不会对变电站周边生态环境影响。</w:t>
            </w:r>
          </w:p>
        </w:tc>
      </w:tr>
      <w:tr w14:paraId="3D7D6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0" w:type="dxa"/>
            <w:vAlign w:val="center"/>
          </w:tcPr>
          <w:p w14:paraId="3FA28EDE">
            <w:pPr>
              <w:adjustRightInd w:val="0"/>
              <w:snapToGrid w:val="0"/>
              <w:jc w:val="center"/>
              <w:rPr>
                <w:kern w:val="0"/>
                <w:u w:val="none"/>
              </w:rPr>
            </w:pPr>
            <w:r>
              <w:rPr>
                <w:kern w:val="0"/>
                <w:u w:val="none"/>
              </w:rPr>
              <w:t>施工方案</w:t>
            </w:r>
          </w:p>
        </w:tc>
        <w:tc>
          <w:tcPr>
            <w:tcW w:w="8380" w:type="dxa"/>
            <w:vAlign w:val="center"/>
          </w:tcPr>
          <w:p w14:paraId="52030448">
            <w:pPr>
              <w:rPr>
                <w:b/>
                <w:u w:val="none"/>
              </w:rPr>
            </w:pPr>
            <w:r>
              <w:rPr>
                <w:rFonts w:hint="eastAsia"/>
                <w:b/>
                <w:u w:val="none"/>
              </w:rPr>
              <w:t>2.6</w:t>
            </w:r>
            <w:r>
              <w:rPr>
                <w:b/>
                <w:u w:val="none"/>
              </w:rPr>
              <w:t>施工工艺</w:t>
            </w:r>
          </w:p>
          <w:p w14:paraId="3AA58F6C">
            <w:pPr>
              <w:adjustRightInd w:val="0"/>
              <w:snapToGrid w:val="0"/>
              <w:rPr>
                <w:kern w:val="0"/>
                <w:szCs w:val="21"/>
                <w:u w:val="none"/>
              </w:rPr>
            </w:pPr>
            <w:r>
              <w:rPr>
                <w:rFonts w:hint="eastAsia"/>
                <w:kern w:val="0"/>
                <w:szCs w:val="21"/>
                <w:u w:val="none"/>
              </w:rPr>
              <w:t>2.6.1场地平整工艺流程</w:t>
            </w:r>
          </w:p>
          <w:p w14:paraId="1B15B211">
            <w:pPr>
              <w:adjustRightInd w:val="0"/>
              <w:snapToGrid w:val="0"/>
              <w:ind w:firstLine="480" w:firstLineChars="200"/>
              <w:rPr>
                <w:rFonts w:hint="eastAsia" w:eastAsia="宋体"/>
                <w:bCs/>
                <w:u w:val="none"/>
                <w:lang w:eastAsia="zh-CN"/>
              </w:rPr>
            </w:pPr>
            <w:r>
              <w:rPr>
                <w:rFonts w:hint="eastAsia"/>
                <w:kern w:val="0"/>
                <w:szCs w:val="21"/>
                <w:u w:val="none"/>
              </w:rPr>
              <w:t>将场地有机物和表层耕植土清除至指定的地方，将填方区的填土分层夯实填平，整个场地按设计进行填方平整</w:t>
            </w:r>
            <w:r>
              <w:rPr>
                <w:rFonts w:hint="eastAsia"/>
                <w:kern w:val="0"/>
                <w:szCs w:val="21"/>
                <w:u w:val="none"/>
                <w:lang w:eastAsia="zh-CN"/>
              </w:rPr>
              <w:t>。</w:t>
            </w:r>
          </w:p>
          <w:p w14:paraId="51152B12">
            <w:pPr>
              <w:rPr>
                <w:bCs/>
                <w:u w:val="none"/>
              </w:rPr>
            </w:pPr>
            <w:r>
              <w:rPr>
                <w:rFonts w:hint="eastAsia"/>
                <w:bCs/>
                <w:u w:val="none"/>
              </w:rPr>
              <w:t>2.6</w:t>
            </w:r>
            <w:r>
              <w:rPr>
                <w:bCs/>
                <w:u w:val="none"/>
              </w:rPr>
              <w:t>.</w:t>
            </w:r>
            <w:r>
              <w:rPr>
                <w:rFonts w:hint="eastAsia"/>
                <w:bCs/>
                <w:u w:val="none"/>
              </w:rPr>
              <w:t>2</w:t>
            </w:r>
            <w:r>
              <w:rPr>
                <w:bCs/>
                <w:u w:val="none"/>
              </w:rPr>
              <w:t>基础施工工艺</w:t>
            </w:r>
          </w:p>
          <w:p w14:paraId="00530DD1">
            <w:pPr>
              <w:ind w:firstLine="480" w:firstLineChars="200"/>
              <w:rPr>
                <w:bCs/>
                <w:u w:val="none"/>
              </w:rPr>
            </w:pPr>
            <w:r>
              <w:rPr>
                <w:bCs/>
                <w:u w:val="none"/>
              </w:rPr>
              <w:t>本期变电站</w:t>
            </w:r>
            <w:r>
              <w:rPr>
                <w:rFonts w:hint="eastAsia"/>
                <w:bCs/>
                <w:u w:val="none"/>
              </w:rPr>
              <w:t>扩建</w:t>
            </w:r>
            <w:r>
              <w:rPr>
                <w:bCs/>
                <w:u w:val="none"/>
              </w:rPr>
              <w:t>建（构）筑物主要为</w:t>
            </w:r>
            <w:r>
              <w:rPr>
                <w:rFonts w:hint="eastAsia"/>
                <w:bCs/>
                <w:u w:val="none"/>
              </w:rPr>
              <w:t>主变</w:t>
            </w:r>
            <w:r>
              <w:rPr>
                <w:rFonts w:hint="eastAsia"/>
                <w:u w:val="none"/>
                <w:lang w:val="en-US" w:eastAsia="zh-CN"/>
              </w:rPr>
              <w:t>及其</w:t>
            </w:r>
            <w:r>
              <w:rPr>
                <w:rFonts w:hint="eastAsia"/>
                <w:u w:val="none"/>
              </w:rPr>
              <w:t>配套的电缆支沟、操作小道、给排水及消防灭火系统</w:t>
            </w:r>
            <w:r>
              <w:rPr>
                <w:bCs/>
                <w:u w:val="none"/>
              </w:rPr>
              <w:t>等。各类建（构）筑物基础（包括沟道）视其大小、深浅和相邻间距，采用单独或局部成片的开挖方式。基础施工应避免在雨天和大风施工。</w:t>
            </w:r>
          </w:p>
          <w:p w14:paraId="5D3467AC">
            <w:pPr>
              <w:rPr>
                <w:u w:val="none"/>
              </w:rPr>
            </w:pPr>
            <w:r>
              <w:rPr>
                <w:b/>
                <w:u w:val="none"/>
              </w:rPr>
              <w:t>2</w:t>
            </w:r>
            <w:r>
              <w:rPr>
                <w:rFonts w:hint="eastAsia"/>
                <w:b/>
                <w:u w:val="none"/>
              </w:rPr>
              <w:t>.</w:t>
            </w:r>
            <w:r>
              <w:rPr>
                <w:rFonts w:hint="eastAsia"/>
                <w:b/>
                <w:u w:val="none"/>
                <w:lang w:val="en-US" w:eastAsia="zh-CN"/>
              </w:rPr>
              <w:t>7</w:t>
            </w:r>
            <w:r>
              <w:rPr>
                <w:b/>
                <w:u w:val="none"/>
              </w:rPr>
              <w:t>施工周期</w:t>
            </w:r>
            <w:r>
              <w:rPr>
                <w:u w:val="none"/>
              </w:rPr>
              <w:t>：</w:t>
            </w:r>
          </w:p>
          <w:p w14:paraId="4387732E">
            <w:pPr>
              <w:ind w:firstLine="480"/>
              <w:rPr>
                <w:kern w:val="0"/>
                <w:u w:val="none"/>
              </w:rPr>
            </w:pPr>
            <w:r>
              <w:rPr>
                <w:highlight w:val="none"/>
                <w:u w:val="none"/>
              </w:rPr>
              <w:t>202</w:t>
            </w:r>
            <w:r>
              <w:rPr>
                <w:rFonts w:hint="eastAsia"/>
                <w:highlight w:val="none"/>
                <w:u w:val="none"/>
                <w:lang w:val="en-US" w:eastAsia="zh-CN"/>
              </w:rPr>
              <w:t>5</w:t>
            </w:r>
            <w:r>
              <w:rPr>
                <w:highlight w:val="none"/>
                <w:u w:val="none"/>
              </w:rPr>
              <w:t>年</w:t>
            </w:r>
            <w:r>
              <w:rPr>
                <w:rFonts w:hint="eastAsia"/>
                <w:highlight w:val="none"/>
                <w:u w:val="none"/>
                <w:lang w:val="en-US" w:eastAsia="zh-CN"/>
              </w:rPr>
              <w:t>7</w:t>
            </w:r>
            <w:r>
              <w:rPr>
                <w:highlight w:val="none"/>
                <w:u w:val="none"/>
              </w:rPr>
              <w:t>月至202</w:t>
            </w:r>
            <w:r>
              <w:rPr>
                <w:rFonts w:hint="eastAsia"/>
                <w:highlight w:val="none"/>
                <w:u w:val="none"/>
                <w:lang w:val="en-US" w:eastAsia="zh-CN"/>
              </w:rPr>
              <w:t>6</w:t>
            </w:r>
            <w:r>
              <w:rPr>
                <w:highlight w:val="none"/>
                <w:u w:val="none"/>
              </w:rPr>
              <w:t>年</w:t>
            </w:r>
            <w:r>
              <w:rPr>
                <w:rFonts w:hint="eastAsia"/>
                <w:highlight w:val="none"/>
                <w:u w:val="none"/>
                <w:lang w:val="en-US" w:eastAsia="zh-CN"/>
              </w:rPr>
              <w:t>7</w:t>
            </w:r>
            <w:r>
              <w:rPr>
                <w:highlight w:val="none"/>
                <w:u w:val="none"/>
              </w:rPr>
              <w:t>月。</w:t>
            </w:r>
          </w:p>
        </w:tc>
      </w:tr>
      <w:tr w14:paraId="6E0E1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0" w:type="dxa"/>
            <w:vAlign w:val="center"/>
          </w:tcPr>
          <w:p w14:paraId="4C7F8409">
            <w:pPr>
              <w:adjustRightInd w:val="0"/>
              <w:snapToGrid w:val="0"/>
              <w:spacing w:line="240" w:lineRule="auto"/>
              <w:jc w:val="center"/>
              <w:rPr>
                <w:kern w:val="0"/>
                <w:u w:val="none"/>
              </w:rPr>
            </w:pPr>
            <w:r>
              <w:rPr>
                <w:kern w:val="0"/>
                <w:u w:val="none"/>
              </w:rPr>
              <w:t>其他</w:t>
            </w:r>
          </w:p>
        </w:tc>
        <w:tc>
          <w:tcPr>
            <w:tcW w:w="8380" w:type="dxa"/>
            <w:vAlign w:val="center"/>
          </w:tcPr>
          <w:p w14:paraId="0F2EB955">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eastAsia="宋体"/>
                <w:kern w:val="0"/>
                <w:u w:val="none"/>
                <w:lang w:val="en-US" w:eastAsia="zh-CN"/>
              </w:rPr>
            </w:pPr>
            <w:r>
              <w:rPr>
                <w:rFonts w:hint="eastAsia"/>
                <w:u w:val="none"/>
                <w:lang w:val="en-US" w:eastAsia="zh-CN"/>
              </w:rPr>
              <w:t>2013年10月，原柳州市环境保护局以《关于220kV果山变电站扩建工程建设项目环境影响报告表的批复》（柳环审字〔2013〕188号）对220kV果山变电站扩建工程建设项目环境影响报告表进行了批复。因批复后5年内未开工建设，根据环境影响评价法本次重新报批环境影响评价文件。</w:t>
            </w:r>
          </w:p>
        </w:tc>
      </w:tr>
    </w:tbl>
    <w:p w14:paraId="1E354319">
      <w:pPr>
        <w:pStyle w:val="2"/>
        <w:spacing w:line="240" w:lineRule="auto"/>
        <w:jc w:val="center"/>
        <w:outlineLvl w:val="0"/>
        <w:rPr>
          <w:rStyle w:val="27"/>
          <w:rFonts w:ascii="黑体" w:hAnsi="黑体" w:eastAsia="黑体" w:cs="黑体"/>
          <w:b/>
          <w:bCs/>
          <w:sz w:val="30"/>
          <w:szCs w:val="30"/>
          <w:u w:val="none"/>
        </w:rPr>
      </w:pPr>
      <w:r>
        <w:rPr>
          <w:rFonts w:ascii="Times New Roman" w:hAnsi="Times New Roman"/>
          <w:b/>
          <w:bCs/>
          <w:szCs w:val="24"/>
          <w:u w:val="none"/>
        </w:rPr>
        <w:br w:type="page"/>
      </w:r>
      <w:bookmarkStart w:id="14" w:name="_Toc2934"/>
      <w:bookmarkStart w:id="15" w:name="_Toc30000"/>
      <w:bookmarkStart w:id="16" w:name="_Toc26165"/>
      <w:bookmarkStart w:id="17" w:name="_Toc13093"/>
      <w:bookmarkStart w:id="18" w:name="_Toc21358"/>
      <w:bookmarkStart w:id="19" w:name="_Toc23803"/>
      <w:bookmarkStart w:id="20" w:name="_Toc32531"/>
      <w:bookmarkStart w:id="21" w:name="_Toc26766"/>
      <w:bookmarkStart w:id="22" w:name="_Toc21972"/>
      <w:bookmarkStart w:id="23" w:name="_Toc2038"/>
      <w:bookmarkStart w:id="24" w:name="_Toc14267"/>
      <w:r>
        <w:rPr>
          <w:rStyle w:val="27"/>
          <w:rFonts w:hint="default" w:ascii="黑体" w:hAnsi="黑体" w:eastAsia="黑体" w:cs="黑体"/>
          <w:b/>
          <w:bCs/>
          <w:sz w:val="30"/>
          <w:szCs w:val="30"/>
          <w:u w:val="none"/>
        </w:rPr>
        <w:t>三、生态环境现状、保护目标及评价标准</w:t>
      </w:r>
      <w:bookmarkEnd w:id="14"/>
      <w:bookmarkEnd w:id="15"/>
      <w:bookmarkEnd w:id="16"/>
      <w:bookmarkEnd w:id="17"/>
      <w:bookmarkEnd w:id="18"/>
      <w:bookmarkEnd w:id="19"/>
      <w:bookmarkEnd w:id="20"/>
      <w:bookmarkEnd w:id="21"/>
      <w:bookmarkEnd w:id="22"/>
      <w:bookmarkEnd w:id="23"/>
      <w:bookmarkEnd w:id="24"/>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884"/>
      </w:tblGrid>
      <w:tr w14:paraId="053F8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679" w:type="dxa"/>
            <w:vAlign w:val="center"/>
          </w:tcPr>
          <w:p w14:paraId="4A87E35A">
            <w:pPr>
              <w:adjustRightInd w:val="0"/>
              <w:snapToGrid w:val="0"/>
              <w:jc w:val="center"/>
              <w:rPr>
                <w:kern w:val="0"/>
                <w:u w:val="none"/>
              </w:rPr>
            </w:pPr>
            <w:r>
              <w:rPr>
                <w:kern w:val="0"/>
                <w:u w:val="none"/>
              </w:rPr>
              <w:t>生态环境现状</w:t>
            </w:r>
          </w:p>
        </w:tc>
        <w:tc>
          <w:tcPr>
            <w:tcW w:w="8478" w:type="dxa"/>
            <w:vAlign w:val="center"/>
          </w:tcPr>
          <w:p w14:paraId="39F9BED8">
            <w:pPr>
              <w:numPr>
                <w:ilvl w:val="1"/>
                <w:numId w:val="2"/>
              </w:numPr>
              <w:autoSpaceDE w:val="0"/>
              <w:autoSpaceDN w:val="0"/>
              <w:adjustRightInd w:val="0"/>
              <w:snapToGrid w:val="0"/>
              <w:rPr>
                <w:b/>
                <w:kern w:val="0"/>
                <w:u w:val="none"/>
              </w:rPr>
            </w:pPr>
            <w:r>
              <w:rPr>
                <w:b/>
                <w:u w:val="none"/>
              </w:rPr>
              <w:t>生态环境现状</w:t>
            </w:r>
          </w:p>
          <w:p w14:paraId="7B28FCBA">
            <w:pPr>
              <w:adjustRightInd w:val="0"/>
              <w:snapToGrid w:val="0"/>
              <w:jc w:val="left"/>
              <w:rPr>
                <w:b/>
                <w:bCs/>
                <w:color w:val="000000" w:themeColor="text1"/>
                <w:kern w:val="0"/>
                <w:szCs w:val="21"/>
                <w:u w:val="none"/>
                <w14:textFill>
                  <w14:solidFill>
                    <w14:schemeClr w14:val="tx1"/>
                  </w14:solidFill>
                </w14:textFill>
              </w:rPr>
            </w:pPr>
            <w:r>
              <w:rPr>
                <w:b/>
                <w:bCs/>
                <w:color w:val="000000" w:themeColor="text1"/>
                <w:kern w:val="0"/>
                <w:szCs w:val="21"/>
                <w:u w:val="none"/>
                <w14:textFill>
                  <w14:solidFill>
                    <w14:schemeClr w14:val="tx1"/>
                  </w14:solidFill>
                </w14:textFill>
              </w:rPr>
              <w:t>3.1.1主体功能区划</w:t>
            </w:r>
          </w:p>
          <w:p w14:paraId="4FF1A0D2">
            <w:pPr>
              <w:autoSpaceDE w:val="0"/>
              <w:autoSpaceDN w:val="0"/>
              <w:adjustRightInd w:val="0"/>
              <w:snapToGrid w:val="0"/>
              <w:ind w:firstLine="480"/>
              <w:jc w:val="left"/>
              <w:rPr>
                <w:u w:val="none"/>
              </w:rPr>
            </w:pPr>
            <w:r>
              <w:rPr>
                <w:u w:val="none"/>
              </w:rPr>
              <w:t>根据《广西壮族自治区主体功能区划》（桂政发〔</w:t>
            </w:r>
            <w:r>
              <w:rPr>
                <w:snapToGrid w:val="0"/>
                <w:kern w:val="0"/>
                <w:u w:val="none"/>
              </w:rPr>
              <w:t>2012</w:t>
            </w:r>
            <w:r>
              <w:rPr>
                <w:u w:val="none"/>
              </w:rPr>
              <w:t>〕89号），广西壮族自治区主体功能区按开发形式划分为重点开发区、限制开发区和禁止开发区。重点开发区域是全省工业化和城市化的重要支撑区，限制开发区域的农产品主产区是国家粮食安全的重要保障区，限制开发区域的重点生态功能区和禁止开发区域是国家和全区生态安全的重要保障区。</w:t>
            </w:r>
          </w:p>
          <w:p w14:paraId="5132CD0C">
            <w:pPr>
              <w:adjustRightInd w:val="0"/>
              <w:snapToGrid w:val="0"/>
              <w:ind w:firstLine="480" w:firstLineChars="200"/>
              <w:rPr>
                <w:rFonts w:hint="default" w:eastAsia="宋体"/>
                <w:kern w:val="0"/>
                <w:highlight w:val="none"/>
                <w:u w:val="none"/>
                <w:lang w:val="en-US" w:eastAsia="zh-CN"/>
              </w:rPr>
            </w:pPr>
            <w:r>
              <w:rPr>
                <w:kern w:val="0"/>
                <w:u w:val="none"/>
              </w:rPr>
              <w:t>根据重点开发区域</w:t>
            </w:r>
            <w:r>
              <w:rPr>
                <w:rFonts w:hint="eastAsia"/>
                <w:kern w:val="0"/>
                <w:u w:val="none"/>
              </w:rPr>
              <w:t>的规划，</w:t>
            </w:r>
            <w:r>
              <w:rPr>
                <w:kern w:val="0"/>
                <w:u w:val="none"/>
              </w:rPr>
              <w:t>重点开发区域</w:t>
            </w:r>
            <w:r>
              <w:rPr>
                <w:rFonts w:hint="eastAsia"/>
                <w:kern w:val="0"/>
                <w:u w:val="none"/>
              </w:rPr>
              <w:t>为</w:t>
            </w:r>
            <w:r>
              <w:rPr>
                <w:kern w:val="0"/>
                <w:u w:val="none"/>
              </w:rPr>
              <w:t>全区乃至全国重要的人口和经济密集区</w:t>
            </w:r>
            <w:r>
              <w:rPr>
                <w:rFonts w:hint="eastAsia"/>
                <w:kern w:val="0"/>
                <w:u w:val="none"/>
              </w:rPr>
              <w:t>，</w:t>
            </w:r>
            <w:r>
              <w:rPr>
                <w:kern w:val="0"/>
                <w:u w:val="none"/>
              </w:rPr>
              <w:t>提升经济综合实力和产业竞争力的核心区</w:t>
            </w:r>
            <w:r>
              <w:rPr>
                <w:rFonts w:hint="eastAsia"/>
                <w:kern w:val="0"/>
                <w:u w:val="none"/>
              </w:rPr>
              <w:t>，</w:t>
            </w:r>
            <w:r>
              <w:rPr>
                <w:kern w:val="0"/>
                <w:u w:val="none"/>
              </w:rPr>
              <w:t>引领科技创新和推动发展方式转变的示范区</w:t>
            </w:r>
            <w:r>
              <w:rPr>
                <w:rFonts w:hint="eastAsia"/>
                <w:kern w:val="0"/>
                <w:u w:val="none"/>
              </w:rPr>
              <w:t>，</w:t>
            </w:r>
            <w:r>
              <w:rPr>
                <w:kern w:val="0"/>
                <w:u w:val="none"/>
              </w:rPr>
              <w:t>支撑全区乃至全国经济发展的重要增长极。</w:t>
            </w:r>
            <w:r>
              <w:rPr>
                <w:rFonts w:hint="eastAsia"/>
                <w:kern w:val="0"/>
                <w:u w:val="none"/>
              </w:rPr>
              <w:t>在发展的同时要推进清洁生产，发展循环经济，加大污水垃圾处理设施建设，降低资源消耗和污染物排放，全面完成节能减排目标任务，减少工业化城</w:t>
            </w:r>
            <w:r>
              <w:rPr>
                <w:rFonts w:hint="eastAsia"/>
                <w:kern w:val="0"/>
                <w:highlight w:val="none"/>
                <w:u w:val="none"/>
              </w:rPr>
              <w:t>镇化对生态环境的影响。</w:t>
            </w:r>
          </w:p>
          <w:p w14:paraId="0208E337">
            <w:pPr>
              <w:adjustRightInd w:val="0"/>
              <w:snapToGrid w:val="0"/>
              <w:ind w:firstLine="480" w:firstLineChars="200"/>
              <w:rPr>
                <w:kern w:val="0"/>
                <w:highlight w:val="none"/>
                <w:u w:val="none"/>
              </w:rPr>
            </w:pPr>
            <w:r>
              <w:rPr>
                <w:rFonts w:hint="eastAsia"/>
                <w:kern w:val="0"/>
                <w:highlight w:val="none"/>
                <w:u w:val="none"/>
                <w:lang w:val="en-US" w:eastAsia="zh-CN"/>
              </w:rPr>
              <w:t>本工程位于柳州市阳和工业新区产属于省级重点开发区域，</w:t>
            </w:r>
            <w:r>
              <w:rPr>
                <w:highlight w:val="none"/>
                <w:u w:val="none"/>
              </w:rPr>
              <w:t>属于基础设施项目，符合基础设施建设要求，</w:t>
            </w:r>
            <w:r>
              <w:rPr>
                <w:kern w:val="0"/>
                <w:highlight w:val="none"/>
                <w:u w:val="none"/>
              </w:rPr>
              <w:t>本项目不新增用地，符合《广西壮族自治区主体功能区规划》。</w:t>
            </w:r>
            <w:r>
              <w:rPr>
                <w:rFonts w:hint="eastAsia"/>
                <w:color w:val="000000" w:themeColor="text1"/>
                <w:highlight w:val="none"/>
                <w:u w:val="none"/>
                <w:lang w:val="en-US" w:eastAsia="zh-CN"/>
                <w14:textFill>
                  <w14:solidFill>
                    <w14:schemeClr w14:val="tx1"/>
                  </w14:solidFill>
                </w14:textFill>
              </w:rPr>
              <w:t>本工程与</w:t>
            </w:r>
            <w:r>
              <w:rPr>
                <w:kern w:val="0"/>
                <w:highlight w:val="none"/>
                <w:u w:val="none"/>
              </w:rPr>
              <w:t>主体功能区规划</w:t>
            </w:r>
            <w:r>
              <w:rPr>
                <w:rFonts w:hint="eastAsia"/>
                <w:color w:val="000000" w:themeColor="text1"/>
                <w:highlight w:val="none"/>
                <w:u w:val="none"/>
                <w:lang w:val="en-US" w:eastAsia="zh-CN"/>
                <w14:textFill>
                  <w14:solidFill>
                    <w14:schemeClr w14:val="tx1"/>
                  </w14:solidFill>
                </w14:textFill>
              </w:rPr>
              <w:t>位置关系</w:t>
            </w:r>
            <w:r>
              <w:rPr>
                <w:rFonts w:hint="eastAsia"/>
                <w:color w:val="000000" w:themeColor="text1"/>
                <w:highlight w:val="none"/>
                <w:u w:val="none"/>
                <w14:textFill>
                  <w14:solidFill>
                    <w14:schemeClr w14:val="tx1"/>
                  </w14:solidFill>
                </w14:textFill>
              </w:rPr>
              <w:t>图见附图</w:t>
            </w:r>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w:t>
            </w:r>
          </w:p>
          <w:p w14:paraId="39C06807">
            <w:pPr>
              <w:adjustRightInd w:val="0"/>
              <w:snapToGrid w:val="0"/>
              <w:jc w:val="left"/>
              <w:rPr>
                <w:b/>
                <w:bCs/>
                <w:color w:val="000000" w:themeColor="text1"/>
                <w:kern w:val="0"/>
                <w:szCs w:val="21"/>
                <w:u w:val="none"/>
                <w14:textFill>
                  <w14:solidFill>
                    <w14:schemeClr w14:val="tx1"/>
                  </w14:solidFill>
                </w14:textFill>
              </w:rPr>
            </w:pPr>
            <w:r>
              <w:rPr>
                <w:b/>
                <w:bCs/>
                <w:color w:val="000000" w:themeColor="text1"/>
                <w:kern w:val="0"/>
                <w:szCs w:val="21"/>
                <w:u w:val="none"/>
                <w14:textFill>
                  <w14:solidFill>
                    <w14:schemeClr w14:val="tx1"/>
                  </w14:solidFill>
                </w14:textFill>
              </w:rPr>
              <w:t>3.1.2</w:t>
            </w:r>
            <w:r>
              <w:rPr>
                <w:rFonts w:hint="eastAsia"/>
                <w:b/>
                <w:bCs/>
                <w:color w:val="000000" w:themeColor="text1"/>
                <w:kern w:val="0"/>
                <w:szCs w:val="21"/>
                <w:u w:val="none"/>
                <w14:textFill>
                  <w14:solidFill>
                    <w14:schemeClr w14:val="tx1"/>
                  </w14:solidFill>
                </w14:textFill>
              </w:rPr>
              <w:t>广西壮族自治区生态功能区划</w:t>
            </w:r>
          </w:p>
          <w:p w14:paraId="4C999CDA">
            <w:pPr>
              <w:adjustRightInd w:val="0"/>
              <w:snapToGrid w:val="0"/>
              <w:ind w:firstLine="480" w:firstLineChars="200"/>
              <w:jc w:val="left"/>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根据《广西壮族自治区人民政府办公厅关于印发广西壮族自治区生态功能区划的通知》（桂政办发〔</w:t>
            </w:r>
            <w:r>
              <w:rPr>
                <w:color w:val="000000" w:themeColor="text1"/>
                <w:u w:val="none"/>
                <w14:textFill>
                  <w14:solidFill>
                    <w14:schemeClr w14:val="tx1"/>
                  </w14:solidFill>
                </w14:textFill>
              </w:rPr>
              <w:t>2008</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8</w:t>
            </w:r>
            <w:r>
              <w:rPr>
                <w:rFonts w:hint="eastAsia"/>
                <w:color w:val="000000" w:themeColor="text1"/>
                <w:u w:val="none"/>
                <w14:textFill>
                  <w14:solidFill>
                    <w14:schemeClr w14:val="tx1"/>
                  </w14:solidFill>
                </w14:textFill>
              </w:rPr>
              <w:t>号），本项目位于</w:t>
            </w:r>
            <w:r>
              <w:rPr>
                <w:rFonts w:ascii="Times New Roman" w:hAnsi="Times New Roman" w:eastAsia="宋体" w:cs="Times New Roman"/>
                <w:i w:val="0"/>
                <w:iCs w:val="0"/>
                <w:caps w:val="0"/>
                <w:spacing w:val="0"/>
                <w:sz w:val="24"/>
                <w:szCs w:val="24"/>
                <w:u w:val="none"/>
                <w:shd w:val="clear"/>
              </w:rPr>
              <w:t>中心城市功能区</w:t>
            </w:r>
            <w:r>
              <w:rPr>
                <w:rFonts w:hint="default"/>
                <w:u w:val="none"/>
              </w:rPr>
              <w:t>，</w:t>
            </w:r>
            <w:r>
              <w:rPr>
                <w:rFonts w:hint="eastAsia"/>
                <w:color w:val="000000" w:themeColor="text1"/>
                <w:u w:val="none"/>
                <w14:textFill>
                  <w14:solidFill>
                    <w14:schemeClr w14:val="tx1"/>
                  </w14:solidFill>
                </w14:textFill>
              </w:rPr>
              <w:t>其主要生态问题</w:t>
            </w:r>
            <w:r>
              <w:rPr>
                <w:rFonts w:hint="eastAsia"/>
                <w:color w:val="000000" w:themeColor="text1"/>
                <w:u w:val="none"/>
                <w:lang w:val="en-US" w:eastAsia="zh-CN"/>
                <w14:textFill>
                  <w14:solidFill>
                    <w14:schemeClr w14:val="tx1"/>
                  </w14:solidFill>
                </w14:textFill>
              </w:rPr>
              <w:t>是</w:t>
            </w:r>
            <w:r>
              <w:rPr>
                <w:rFonts w:hint="eastAsia"/>
                <w:color w:val="000000" w:themeColor="text1"/>
                <w:u w:val="none"/>
                <w14:textFill>
                  <w14:solidFill>
                    <w14:schemeClr w14:val="tx1"/>
                  </w14:solidFill>
                </w14:textFill>
              </w:rPr>
              <w:t>城市环保设施滞后，部分城市水环境、空气环境污染问题较为突出，城市生态功能不完善。</w:t>
            </w:r>
          </w:p>
          <w:p w14:paraId="002D29DC">
            <w:pPr>
              <w:ind w:firstLine="482"/>
              <w:rPr>
                <w:color w:val="000000" w:themeColor="text1"/>
                <w:u w:val="none"/>
                <w14:textFill>
                  <w14:solidFill>
                    <w14:schemeClr w14:val="tx1"/>
                  </w14:solidFill>
                </w14:textFill>
              </w:rPr>
            </w:pPr>
            <w:r>
              <w:rPr>
                <w:rFonts w:hint="eastAsia" w:cs="宋体"/>
                <w:color w:val="000000" w:themeColor="text1"/>
                <w:szCs w:val="21"/>
                <w:u w:val="none"/>
                <w14:textFill>
                  <w14:solidFill>
                    <w14:schemeClr w14:val="tx1"/>
                  </w14:solidFill>
                </w14:textFill>
              </w:rPr>
              <w:t>本项目为电力基础设施建设工程中的输变电工程，</w:t>
            </w:r>
            <w:r>
              <w:rPr>
                <w:rFonts w:hint="eastAsia"/>
                <w:color w:val="000000" w:themeColor="text1"/>
                <w:szCs w:val="21"/>
                <w:u w:val="none"/>
                <w14:textFill>
                  <w14:solidFill>
                    <w14:schemeClr w14:val="tx1"/>
                  </w14:solidFill>
                </w14:textFill>
              </w:rPr>
              <w:t>是</w:t>
            </w:r>
            <w:r>
              <w:rPr>
                <w:rFonts w:hint="eastAsia"/>
                <w:color w:val="000000" w:themeColor="text1"/>
                <w:kern w:val="0"/>
                <w:szCs w:val="21"/>
                <w:u w:val="none"/>
                <w14:textFill>
                  <w14:solidFill>
                    <w14:schemeClr w14:val="tx1"/>
                  </w14:solidFill>
                </w14:textFill>
              </w:rPr>
              <w:t>基础设施项目</w:t>
            </w:r>
            <w:r>
              <w:rPr>
                <w:rFonts w:hint="eastAsia"/>
                <w:color w:val="000000" w:themeColor="text1"/>
                <w:szCs w:val="21"/>
                <w:u w:val="none"/>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本期站内扩建，不新增</w:t>
            </w:r>
            <w:r>
              <w:rPr>
                <w:rFonts w:hint="eastAsia" w:cs="宋体"/>
                <w:color w:val="000000" w:themeColor="text1"/>
                <w:szCs w:val="21"/>
                <w:u w:val="none"/>
                <w14:textFill>
                  <w14:solidFill>
                    <w14:schemeClr w14:val="tx1"/>
                  </w14:solidFill>
                </w14:textFill>
              </w:rPr>
              <w:t>占地，施工期采取相应的污染物防治措施；项目</w:t>
            </w:r>
            <w:r>
              <w:rPr>
                <w:rFonts w:hint="eastAsia"/>
                <w:color w:val="000000" w:themeColor="text1"/>
                <w:u w:val="none"/>
                <w14:textFill>
                  <w14:solidFill>
                    <w14:schemeClr w14:val="tx1"/>
                  </w14:solidFill>
                </w14:textFill>
              </w:rPr>
              <w:t>建成投产后</w:t>
            </w:r>
            <w:r>
              <w:rPr>
                <w:rFonts w:hint="eastAsia"/>
                <w:color w:val="000000" w:themeColor="text1"/>
                <w:u w:val="none"/>
                <w:lang w:val="zh-CN"/>
                <w14:textFill>
                  <w14:solidFill>
                    <w14:schemeClr w14:val="tx1"/>
                  </w14:solidFill>
                </w14:textFill>
              </w:rPr>
              <w:t>有助于电力能源送出及调整地区电源结构，运营期污染较小，符合生态功能区的生态保护方向与相关措施的要求</w:t>
            </w:r>
            <w:r>
              <w:rPr>
                <w:rFonts w:hint="eastAsia"/>
                <w:color w:val="000000" w:themeColor="text1"/>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本工程与</w:t>
            </w:r>
            <w:r>
              <w:rPr>
                <w:rFonts w:hint="eastAsia"/>
                <w:color w:val="000000" w:themeColor="text1"/>
                <w:u w:val="none"/>
                <w14:textFill>
                  <w14:solidFill>
                    <w14:schemeClr w14:val="tx1"/>
                  </w14:solidFill>
                </w14:textFill>
              </w:rPr>
              <w:t>生态功能区划</w:t>
            </w:r>
            <w:r>
              <w:rPr>
                <w:rFonts w:hint="eastAsia"/>
                <w:color w:val="000000" w:themeColor="text1"/>
                <w:u w:val="none"/>
                <w:lang w:val="en-US" w:eastAsia="zh-CN"/>
                <w14:textFill>
                  <w14:solidFill>
                    <w14:schemeClr w14:val="tx1"/>
                  </w14:solidFill>
                </w14:textFill>
              </w:rPr>
              <w:t>位置关系</w:t>
            </w:r>
            <w:r>
              <w:rPr>
                <w:rFonts w:hint="eastAsia"/>
                <w:color w:val="000000" w:themeColor="text1"/>
                <w:u w:val="none"/>
                <w14:textFill>
                  <w14:solidFill>
                    <w14:schemeClr w14:val="tx1"/>
                  </w14:solidFill>
                </w14:textFill>
              </w:rPr>
              <w:t>图见附图</w:t>
            </w:r>
            <w:r>
              <w:rPr>
                <w:rFonts w:hint="eastAsia"/>
                <w:color w:val="000000" w:themeColor="text1"/>
                <w:highlight w:val="none"/>
                <w:u w:val="none"/>
                <w:lang w:val="en-US" w:eastAsia="zh-CN"/>
                <w14:textFill>
                  <w14:solidFill>
                    <w14:schemeClr w14:val="tx1"/>
                  </w14:solidFill>
                </w14:textFill>
              </w:rPr>
              <w:t>8</w:t>
            </w:r>
            <w:r>
              <w:rPr>
                <w:rFonts w:hint="eastAsia"/>
                <w:color w:val="000000" w:themeColor="text1"/>
                <w:u w:val="none"/>
                <w14:textFill>
                  <w14:solidFill>
                    <w14:schemeClr w14:val="tx1"/>
                  </w14:solidFill>
                </w14:textFill>
              </w:rPr>
              <w:t>。</w:t>
            </w:r>
          </w:p>
          <w:p w14:paraId="11093F7B">
            <w:pPr>
              <w:autoSpaceDE w:val="0"/>
              <w:autoSpaceDN w:val="0"/>
              <w:adjustRightInd w:val="0"/>
              <w:rPr>
                <w:u w:val="none"/>
              </w:rPr>
            </w:pPr>
            <w:r>
              <w:rPr>
                <w:rFonts w:hint="eastAsia"/>
                <w:b/>
                <w:color w:val="000000" w:themeColor="text1"/>
                <w:u w:val="none"/>
                <w14:textFill>
                  <w14:solidFill>
                    <w14:schemeClr w14:val="tx1"/>
                  </w14:solidFill>
                </w14:textFill>
              </w:rPr>
              <w:t>3.1.3</w:t>
            </w:r>
            <w:r>
              <w:rPr>
                <w:b/>
                <w:color w:val="000000" w:themeColor="text1"/>
                <w:u w:val="none"/>
                <w14:textFill>
                  <w14:solidFill>
                    <w14:schemeClr w14:val="tx1"/>
                  </w14:solidFill>
                </w14:textFill>
              </w:rPr>
              <w:t>生态环境现状</w:t>
            </w:r>
          </w:p>
          <w:p w14:paraId="5E1DE9EE">
            <w:pPr>
              <w:ind w:firstLine="480" w:firstLineChars="200"/>
              <w:rPr>
                <w:rFonts w:hint="eastAsia"/>
                <w:u w:val="none"/>
              </w:rPr>
            </w:pPr>
            <w:r>
              <w:rPr>
                <w:rFonts w:hint="eastAsia"/>
                <w:u w:val="none"/>
              </w:rPr>
              <w:t>220kV果</w:t>
            </w:r>
            <w:r>
              <w:rPr>
                <w:rFonts w:hint="eastAsia"/>
                <w:highlight w:val="none"/>
                <w:u w:val="none"/>
              </w:rPr>
              <w:t>山变电站位于柳州市阳和工业新区东部片区燕山东侧</w:t>
            </w:r>
            <w:r>
              <w:rPr>
                <w:highlight w:val="none"/>
                <w:u w:val="none"/>
              </w:rPr>
              <w:t>，本项目为扩建项目，</w:t>
            </w:r>
            <w:r>
              <w:rPr>
                <w:rFonts w:hint="eastAsia"/>
                <w:highlight w:val="none"/>
                <w:u w:val="none"/>
              </w:rPr>
              <w:t>原厂界</w:t>
            </w:r>
            <w:r>
              <w:rPr>
                <w:highlight w:val="none"/>
                <w:u w:val="none"/>
              </w:rPr>
              <w:t>内种植少量植被用于站区绿化，种类多为草、矮灌木。</w:t>
            </w:r>
            <w:r>
              <w:rPr>
                <w:rFonts w:hint="eastAsia"/>
                <w:highlight w:val="none"/>
                <w:u w:val="none"/>
              </w:rPr>
              <w:t>因工业园区附近人类活动较频繁，生态评价范围内的植被已退化为</w:t>
            </w:r>
            <w:r>
              <w:rPr>
                <w:rFonts w:hint="eastAsia"/>
                <w:u w:val="none"/>
              </w:rPr>
              <w:t>以黄荆条、红背山麻杆、老虎刺、龙须藤等为主的灌草丛以及人工种植的行道树——速生桉。</w:t>
            </w:r>
            <w:r>
              <w:rPr>
                <w:rFonts w:ascii="宋体" w:hAnsi="宋体" w:cs="宋体"/>
                <w:color w:val="000000" w:themeColor="text1"/>
                <w:u w:val="none"/>
                <w14:textFill>
                  <w14:solidFill>
                    <w14:schemeClr w14:val="tx1"/>
                  </w14:solidFill>
                </w14:textFill>
              </w:rPr>
              <w:t>评价范围内未发现有国家和自治区重点保护珍稀植物。</w:t>
            </w:r>
          </w:p>
          <w:p w14:paraId="51CE1FA5">
            <w:pPr>
              <w:ind w:firstLine="480" w:firstLineChars="200"/>
              <w:rPr>
                <w:color w:val="000000" w:themeColor="text1"/>
                <w:u w:val="none"/>
                <w14:textFill>
                  <w14:solidFill>
                    <w14:schemeClr w14:val="tx1"/>
                  </w14:solidFill>
                </w14:textFill>
              </w:rPr>
            </w:pPr>
            <w:r>
              <w:rPr>
                <w:color w:val="000000" w:themeColor="text1"/>
                <w:u w:val="none"/>
                <w14:textFill>
                  <w14:solidFill>
                    <w14:schemeClr w14:val="tx1"/>
                  </w14:solidFill>
                </w14:textFill>
              </w:rPr>
              <w:t>项目区除中、小型鸟类及一些蛙类相对较常见外，其它动物甚难见到，动物的活动痕迹如足迹、挂爪痕、觅食痕、粪便、脱落的毛、羽等很稀少，表明项目区野生动物资源密度很低。经调查访问，评价区内无国家和自治区重点保护的野生动物。</w:t>
            </w:r>
          </w:p>
          <w:p w14:paraId="172D59B2">
            <w:pPr>
              <w:ind w:firstLine="480" w:firstLineChars="200"/>
              <w:rPr>
                <w:u w:val="none"/>
              </w:rPr>
            </w:pPr>
            <w:r>
              <w:rPr>
                <w:u w:val="none"/>
              </w:rPr>
              <w:t>所在区域环境影响评价范围内无风景名胜区、自然保护区、文物保护区，未发现国家级和自治区级濒危动、植物等。</w:t>
            </w:r>
          </w:p>
          <w:p w14:paraId="37910D2A">
            <w:pPr>
              <w:snapToGrid w:val="0"/>
              <w:spacing w:line="360" w:lineRule="auto"/>
              <w:rPr>
                <w:sz w:val="24"/>
                <w:u w:val="none"/>
              </w:rPr>
            </w:pPr>
            <w:r>
              <w:rPr>
                <w:rFonts w:hint="eastAsia"/>
                <w:b/>
                <w:color w:val="000000" w:themeColor="text1"/>
                <w:u w:val="none"/>
                <w14:textFill>
                  <w14:solidFill>
                    <w14:schemeClr w14:val="tx1"/>
                  </w14:solidFill>
                </w14:textFill>
              </w:rPr>
              <w:t>3.1.</w:t>
            </w:r>
            <w:r>
              <w:rPr>
                <w:rFonts w:hint="eastAsia"/>
                <w:b/>
                <w:color w:val="000000" w:themeColor="text1"/>
                <w:u w:val="none"/>
                <w:lang w:val="en-US" w:eastAsia="zh-CN"/>
                <w14:textFill>
                  <w14:solidFill>
                    <w14:schemeClr w14:val="tx1"/>
                  </w14:solidFill>
                </w14:textFill>
              </w:rPr>
              <w:t>4</w:t>
            </w:r>
            <w:r>
              <w:rPr>
                <w:rFonts w:hint="eastAsia"/>
                <w:b/>
                <w:bCs/>
                <w:sz w:val="24"/>
                <w:u w:val="none"/>
              </w:rPr>
              <w:t>土地利用类型</w:t>
            </w:r>
          </w:p>
          <w:p w14:paraId="43CF368E">
            <w:pPr>
              <w:ind w:firstLine="480" w:firstLineChars="20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220kV果山变电站位于广西柳州市</w:t>
            </w:r>
            <w:r>
              <w:rPr>
                <w:rFonts w:hint="eastAsia"/>
                <w:color w:val="000000" w:themeColor="text1"/>
                <w:u w:val="none"/>
                <w:lang w:eastAsia="zh-CN"/>
                <w14:textFill>
                  <w14:solidFill>
                    <w14:schemeClr w14:val="tx1"/>
                  </w14:solidFill>
                </w14:textFill>
              </w:rPr>
              <w:t>阳和工业新区产</w:t>
            </w:r>
            <w:r>
              <w:rPr>
                <w:rFonts w:hint="eastAsia"/>
                <w:color w:val="000000" w:themeColor="text1"/>
                <w:u w:val="none"/>
                <w:lang w:val="en-US" w:eastAsia="zh-CN"/>
                <w14:textFill>
                  <w14:solidFill>
                    <w14:schemeClr w14:val="tx1"/>
                  </w14:solidFill>
                </w14:textFill>
              </w:rPr>
              <w:t>，</w:t>
            </w:r>
            <w:r>
              <w:rPr>
                <w:rFonts w:hint="eastAsia"/>
                <w:color w:val="000000" w:themeColor="text1"/>
                <w:u w:val="none"/>
                <w14:textFill>
                  <w14:solidFill>
                    <w14:schemeClr w14:val="tx1"/>
                  </w14:solidFill>
                </w14:textFill>
              </w:rPr>
              <w:t>变电站站址所处地貌形态主要为平原地貌，站址</w:t>
            </w:r>
            <w:r>
              <w:rPr>
                <w:rFonts w:hint="eastAsia"/>
                <w:color w:val="000000" w:themeColor="text1"/>
                <w:u w:val="none"/>
                <w:lang w:val="en-US" w:eastAsia="zh-CN"/>
                <w14:textFill>
                  <w14:solidFill>
                    <w14:schemeClr w14:val="tx1"/>
                  </w14:solidFill>
                </w14:textFill>
              </w:rPr>
              <w:t>周围</w:t>
            </w:r>
            <w:r>
              <w:rPr>
                <w:rFonts w:hint="eastAsia"/>
                <w:color w:val="000000" w:themeColor="text1"/>
                <w:u w:val="none"/>
                <w14:textFill>
                  <w14:solidFill>
                    <w14:schemeClr w14:val="tx1"/>
                  </w14:solidFill>
                </w14:textFill>
              </w:rPr>
              <w:t>土地利用现状为</w:t>
            </w:r>
            <w:r>
              <w:rPr>
                <w:rFonts w:hint="eastAsia"/>
                <w:color w:val="000000" w:themeColor="text1"/>
                <w:u w:val="none"/>
                <w:lang w:val="en-US" w:eastAsia="zh-CN"/>
                <w14:textFill>
                  <w14:solidFill>
                    <w14:schemeClr w14:val="tx1"/>
                  </w14:solidFill>
                </w14:textFill>
              </w:rPr>
              <w:t>建设用地</w:t>
            </w:r>
            <w:r>
              <w:rPr>
                <w:rFonts w:hint="eastAsia"/>
                <w:color w:val="000000" w:themeColor="text1"/>
                <w:u w:val="none"/>
                <w14:textFill>
                  <w14:solidFill>
                    <w14:schemeClr w14:val="tx1"/>
                  </w14:solidFill>
                </w14:textFill>
              </w:rPr>
              <w:t>，不涉及占用永久基本农田及生态环境敏感区。</w:t>
            </w:r>
          </w:p>
          <w:p w14:paraId="3DB4B91F">
            <w:pPr>
              <w:snapToGrid w:val="0"/>
              <w:spacing w:line="360" w:lineRule="auto"/>
              <w:rPr>
                <w:b/>
                <w:bCs w:val="0"/>
                <w:sz w:val="24"/>
                <w:highlight w:val="none"/>
                <w:u w:val="none"/>
              </w:rPr>
            </w:pPr>
            <w:r>
              <w:rPr>
                <w:rFonts w:hint="eastAsia"/>
                <w:b/>
                <w:bCs w:val="0"/>
                <w:color w:val="000000" w:themeColor="text1"/>
                <w:highlight w:val="none"/>
                <w:u w:val="none"/>
                <w14:textFill>
                  <w14:solidFill>
                    <w14:schemeClr w14:val="tx1"/>
                  </w14:solidFill>
                </w14:textFill>
              </w:rPr>
              <w:t>3.1.</w:t>
            </w:r>
            <w:r>
              <w:rPr>
                <w:rFonts w:hint="eastAsia"/>
                <w:b/>
                <w:bCs w:val="0"/>
                <w:color w:val="000000" w:themeColor="text1"/>
                <w:highlight w:val="none"/>
                <w:u w:val="none"/>
                <w:lang w:val="en-US" w:eastAsia="zh-CN"/>
                <w14:textFill>
                  <w14:solidFill>
                    <w14:schemeClr w14:val="tx1"/>
                  </w14:solidFill>
                </w14:textFill>
              </w:rPr>
              <w:t>5</w:t>
            </w:r>
            <w:r>
              <w:rPr>
                <w:rFonts w:hint="eastAsia"/>
                <w:b/>
                <w:bCs w:val="0"/>
                <w:sz w:val="24"/>
                <w:highlight w:val="none"/>
                <w:u w:val="none"/>
              </w:rPr>
              <w:t>植被及生物多样性</w:t>
            </w:r>
          </w:p>
          <w:p w14:paraId="49CC0706">
            <w:pPr>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jc w:val="both"/>
              <w:textAlignment w:val="auto"/>
              <w:rPr>
                <w:sz w:val="24"/>
                <w:highlight w:val="none"/>
                <w:u w:val="none"/>
              </w:rPr>
            </w:pPr>
            <w:r>
              <w:rPr>
                <w:rFonts w:hint="eastAsia"/>
                <w:sz w:val="24"/>
                <w:highlight w:val="none"/>
                <w:u w:val="none"/>
              </w:rPr>
              <w:t>本项目生态评价范围为</w:t>
            </w:r>
            <w:r>
              <w:rPr>
                <w:rFonts w:hint="eastAsia"/>
                <w:sz w:val="24"/>
                <w:highlight w:val="none"/>
                <w:u w:val="none"/>
                <w:lang w:val="en-US" w:eastAsia="zh-CN"/>
              </w:rPr>
              <w:t>果山</w:t>
            </w:r>
            <w:r>
              <w:rPr>
                <w:rFonts w:hint="eastAsia"/>
                <w:sz w:val="24"/>
                <w:highlight w:val="none"/>
                <w:u w:val="none"/>
                <w:lang w:eastAsia="zh-CN"/>
              </w:rPr>
              <w:t>站</w:t>
            </w:r>
            <w:r>
              <w:rPr>
                <w:rFonts w:hint="eastAsia"/>
                <w:sz w:val="24"/>
                <w:highlight w:val="none"/>
                <w:u w:val="none"/>
              </w:rPr>
              <w:t>站界外500m范围内，总评价面积约为</w:t>
            </w:r>
            <w:r>
              <w:rPr>
                <w:rFonts w:hint="eastAsia"/>
                <w:sz w:val="24"/>
                <w:highlight w:val="none"/>
                <w:u w:val="none"/>
                <w:lang w:val="en-US" w:eastAsia="zh-CN"/>
              </w:rPr>
              <w:t>1.11</w:t>
            </w:r>
            <w:r>
              <w:rPr>
                <w:rFonts w:hint="eastAsia"/>
                <w:sz w:val="24"/>
                <w:highlight w:val="none"/>
                <w:u w:val="none"/>
              </w:rPr>
              <w:t>hm</w:t>
            </w:r>
            <w:r>
              <w:rPr>
                <w:rFonts w:hint="eastAsia"/>
                <w:sz w:val="24"/>
                <w:highlight w:val="none"/>
                <w:u w:val="none"/>
                <w:vertAlign w:val="superscript"/>
              </w:rPr>
              <w:t>2</w:t>
            </w:r>
            <w:r>
              <w:rPr>
                <w:rFonts w:hint="eastAsia"/>
                <w:highlight w:val="none"/>
                <w:u w:val="none"/>
                <w:lang w:eastAsia="zh-CN"/>
              </w:rPr>
              <w:t>。</w:t>
            </w:r>
            <w:r>
              <w:rPr>
                <w:rFonts w:hint="eastAsia"/>
                <w:kern w:val="0"/>
                <w:sz w:val="24"/>
                <w:szCs w:val="21"/>
                <w:highlight w:val="none"/>
                <w:u w:val="none"/>
              </w:rPr>
              <w:t>本项目评价范围内主要植被类型为</w:t>
            </w:r>
            <w:r>
              <w:rPr>
                <w:rFonts w:hint="eastAsia"/>
                <w:sz w:val="24"/>
                <w:highlight w:val="none"/>
                <w:u w:val="none"/>
              </w:rPr>
              <w:t>人工植被</w:t>
            </w:r>
            <w:r>
              <w:rPr>
                <w:rFonts w:hint="eastAsia"/>
                <w:kern w:val="0"/>
                <w:sz w:val="24"/>
                <w:szCs w:val="21"/>
                <w:highlight w:val="none"/>
                <w:u w:val="none"/>
                <w:lang w:eastAsia="zh-CN"/>
              </w:rPr>
              <w:t>。</w:t>
            </w:r>
          </w:p>
          <w:p w14:paraId="4B456D66">
            <w:pPr>
              <w:snapToGrid w:val="0"/>
              <w:spacing w:line="360" w:lineRule="auto"/>
              <w:rPr>
                <w:b/>
                <w:bCs w:val="0"/>
                <w:sz w:val="24"/>
                <w:highlight w:val="none"/>
                <w:u w:val="none"/>
              </w:rPr>
            </w:pPr>
            <w:r>
              <w:rPr>
                <w:rFonts w:hint="eastAsia"/>
                <w:b/>
                <w:bCs w:val="0"/>
                <w:color w:val="000000" w:themeColor="text1"/>
                <w:u w:val="none"/>
                <w14:textFill>
                  <w14:solidFill>
                    <w14:schemeClr w14:val="tx1"/>
                  </w14:solidFill>
                </w14:textFill>
              </w:rPr>
              <w:t>3.1.</w:t>
            </w:r>
            <w:r>
              <w:rPr>
                <w:rFonts w:hint="eastAsia"/>
                <w:b/>
                <w:bCs w:val="0"/>
                <w:color w:val="000000" w:themeColor="text1"/>
                <w:u w:val="none"/>
                <w:lang w:val="en-US" w:eastAsia="zh-CN"/>
                <w14:textFill>
                  <w14:solidFill>
                    <w14:schemeClr w14:val="tx1"/>
                  </w14:solidFill>
                </w14:textFill>
              </w:rPr>
              <w:t>6</w:t>
            </w:r>
            <w:r>
              <w:rPr>
                <w:rFonts w:hint="eastAsia"/>
                <w:b/>
                <w:bCs w:val="0"/>
                <w:sz w:val="24"/>
                <w:highlight w:val="none"/>
                <w:u w:val="none"/>
              </w:rPr>
              <w:t>动物资源现状调查</w:t>
            </w:r>
          </w:p>
          <w:p w14:paraId="6B92EBD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sz w:val="24"/>
                <w:u w:val="none"/>
              </w:rPr>
            </w:pPr>
            <w:r>
              <w:rPr>
                <w:rFonts w:hint="eastAsia"/>
                <w:sz w:val="24"/>
                <w:u w:val="none"/>
              </w:rPr>
              <w:t>项目所在区域由于人类活动较多，野生动物资源较少，主要是适应人类活动的常见物种，未发现国家级或广西壮族自治区级重点保护野生动物。</w:t>
            </w:r>
          </w:p>
          <w:p w14:paraId="39808DB8">
            <w:pPr>
              <w:snapToGrid w:val="0"/>
              <w:spacing w:line="360" w:lineRule="auto"/>
              <w:rPr>
                <w:b/>
                <w:bCs w:val="0"/>
                <w:sz w:val="24"/>
                <w:u w:val="none"/>
              </w:rPr>
            </w:pPr>
            <w:r>
              <w:rPr>
                <w:rFonts w:hint="eastAsia"/>
                <w:b/>
                <w:bCs w:val="0"/>
                <w:color w:val="000000" w:themeColor="text1"/>
                <w:u w:val="none"/>
                <w14:textFill>
                  <w14:solidFill>
                    <w14:schemeClr w14:val="tx1"/>
                  </w14:solidFill>
                </w14:textFill>
              </w:rPr>
              <w:t>3.1.</w:t>
            </w:r>
            <w:r>
              <w:rPr>
                <w:rFonts w:hint="eastAsia"/>
                <w:b/>
                <w:bCs w:val="0"/>
                <w:color w:val="000000" w:themeColor="text1"/>
                <w:u w:val="none"/>
                <w:lang w:val="en-US" w:eastAsia="zh-CN"/>
                <w14:textFill>
                  <w14:solidFill>
                    <w14:schemeClr w14:val="tx1"/>
                  </w14:solidFill>
                </w14:textFill>
              </w:rPr>
              <w:t>7</w:t>
            </w:r>
            <w:r>
              <w:rPr>
                <w:rFonts w:hint="eastAsia"/>
                <w:b/>
                <w:bCs w:val="0"/>
                <w:sz w:val="24"/>
                <w:u w:val="none"/>
              </w:rPr>
              <w:t>重要物种及生境调查</w:t>
            </w:r>
          </w:p>
          <w:p w14:paraId="421D687E">
            <w:pPr>
              <w:snapToGrid w:val="0"/>
              <w:spacing w:line="360" w:lineRule="auto"/>
              <w:ind w:firstLine="480" w:firstLineChars="200"/>
              <w:rPr>
                <w:sz w:val="24"/>
                <w:u w:val="none"/>
              </w:rPr>
            </w:pPr>
            <w:r>
              <w:rPr>
                <w:rFonts w:hint="eastAsia"/>
                <w:sz w:val="24"/>
                <w:u w:val="none"/>
              </w:rPr>
              <w:t>依据《国家重点保护野生植物名录》（国家林业和草原局农业农村部公告2021年第15号）、《广西壮族自治区重点保护野生植物名录》（桂政发〔2023〕10号），结合现场调查，本次调查未见国家和广西壮族自治区重点保护野生植物。</w:t>
            </w:r>
          </w:p>
          <w:p w14:paraId="0B7C6BC5">
            <w:pPr>
              <w:snapToGrid w:val="0"/>
              <w:spacing w:line="360" w:lineRule="auto"/>
              <w:ind w:firstLine="480" w:firstLineChars="200"/>
              <w:rPr>
                <w:sz w:val="24"/>
                <w:u w:val="none"/>
              </w:rPr>
            </w:pPr>
            <w:r>
              <w:rPr>
                <w:rFonts w:hint="eastAsia"/>
                <w:sz w:val="24"/>
                <w:u w:val="none"/>
              </w:rPr>
              <w:t>依据《国家重点保护野生动物名录》（国家林业和草原局农业农村部公告2021年第3号）、《广西重点保护野生动物名录》及本工程所在行政区内关于国家重点保护野生动物的相关资料，结合现场实地考察和走访调查，本次调查未见国家和广西壮族自治区重点保护野生动物。</w:t>
            </w:r>
          </w:p>
          <w:p w14:paraId="55A77A3D">
            <w:pPr>
              <w:snapToGrid w:val="0"/>
              <w:spacing w:line="360" w:lineRule="auto"/>
              <w:ind w:firstLine="480" w:firstLineChars="200"/>
              <w:rPr>
                <w:sz w:val="24"/>
                <w:u w:val="none"/>
              </w:rPr>
            </w:pPr>
            <w:r>
              <w:rPr>
                <w:rFonts w:hint="eastAsia"/>
                <w:sz w:val="24"/>
                <w:u w:val="none"/>
              </w:rPr>
              <w:t>通过现场踏勘、资料调研以及主管部门研判，项目评价范围不涉及各级自然保护区、风景名胜区、森林公园、文物古迹等保护区。</w:t>
            </w:r>
          </w:p>
          <w:p w14:paraId="28E9D64F">
            <w:pPr>
              <w:snapToGrid w:val="0"/>
              <w:spacing w:line="360" w:lineRule="auto"/>
              <w:ind w:firstLine="480" w:firstLineChars="200"/>
              <w:rPr>
                <w:sz w:val="24"/>
                <w:u w:val="none"/>
              </w:rPr>
            </w:pPr>
            <w:r>
              <w:rPr>
                <w:rFonts w:hint="eastAsia"/>
                <w:sz w:val="24"/>
                <w:u w:val="none"/>
              </w:rPr>
              <w:t>根据现场调查及咨询</w:t>
            </w:r>
            <w:r>
              <w:rPr>
                <w:rFonts w:hint="eastAsia"/>
                <w:sz w:val="24"/>
                <w:u w:val="none"/>
                <w:lang w:val="en-US" w:eastAsia="zh-CN"/>
              </w:rPr>
              <w:t>柳州</w:t>
            </w:r>
            <w:r>
              <w:rPr>
                <w:rFonts w:hint="eastAsia"/>
                <w:sz w:val="24"/>
                <w:u w:val="none"/>
              </w:rPr>
              <w:t>市林业局，本项目区不存在候鸟迁徙聚集点，不与鸟类迁徙通道重叠。</w:t>
            </w:r>
          </w:p>
          <w:p w14:paraId="29EDE249">
            <w:pPr>
              <w:snapToGrid w:val="0"/>
              <w:spacing w:line="360" w:lineRule="auto"/>
              <w:rPr>
                <w:b/>
                <w:bCs w:val="0"/>
                <w:sz w:val="24"/>
                <w:u w:val="none"/>
              </w:rPr>
            </w:pPr>
            <w:r>
              <w:rPr>
                <w:rFonts w:hint="eastAsia"/>
                <w:b/>
                <w:bCs w:val="0"/>
                <w:color w:val="000000" w:themeColor="text1"/>
                <w:u w:val="none"/>
                <w14:textFill>
                  <w14:solidFill>
                    <w14:schemeClr w14:val="tx1"/>
                  </w14:solidFill>
                </w14:textFill>
              </w:rPr>
              <w:t>3.1.</w:t>
            </w:r>
            <w:r>
              <w:rPr>
                <w:rFonts w:hint="eastAsia"/>
                <w:b/>
                <w:bCs w:val="0"/>
                <w:color w:val="000000" w:themeColor="text1"/>
                <w:u w:val="none"/>
                <w:lang w:val="en-US" w:eastAsia="zh-CN"/>
                <w14:textFill>
                  <w14:solidFill>
                    <w14:schemeClr w14:val="tx1"/>
                  </w14:solidFill>
                </w14:textFill>
              </w:rPr>
              <w:t>8</w:t>
            </w:r>
            <w:r>
              <w:rPr>
                <w:rFonts w:hint="eastAsia"/>
                <w:b/>
                <w:bCs w:val="0"/>
                <w:sz w:val="24"/>
                <w:u w:val="none"/>
              </w:rPr>
              <w:t>项目区生态环境现状调查评价结论</w:t>
            </w:r>
          </w:p>
          <w:p w14:paraId="2ED637BC">
            <w:pPr>
              <w:snapToGrid w:val="0"/>
              <w:spacing w:line="360" w:lineRule="auto"/>
              <w:ind w:firstLine="480" w:firstLineChars="200"/>
              <w:rPr>
                <w:rFonts w:hint="eastAsia"/>
                <w:color w:val="auto"/>
                <w:sz w:val="24"/>
                <w:u w:val="none"/>
              </w:rPr>
            </w:pPr>
            <w:r>
              <w:rPr>
                <w:rFonts w:hint="eastAsia"/>
                <w:color w:val="auto"/>
                <w:sz w:val="24"/>
                <w:u w:val="none"/>
              </w:rPr>
              <w:t>通过现场踏勘，评价区内植被主要为人工植被，主要为</w:t>
            </w:r>
            <w:r>
              <w:rPr>
                <w:rFonts w:hint="eastAsia"/>
                <w:color w:val="auto"/>
                <w:sz w:val="24"/>
                <w:u w:val="none"/>
                <w:lang w:val="en-US" w:eastAsia="zh-CN"/>
              </w:rPr>
              <w:t>灌木、</w:t>
            </w:r>
            <w:r>
              <w:rPr>
                <w:rFonts w:hint="eastAsia"/>
                <w:color w:val="auto"/>
                <w:sz w:val="24"/>
                <w:u w:val="none"/>
              </w:rPr>
              <w:t>人工经济林等。评价区内未有重要物种，未涉及重要生境，本次调查未见国家和广西壮族自治区重点保护野生植物、野生动物、被列入《中国生</w:t>
            </w:r>
            <w:r>
              <w:rPr>
                <w:rFonts w:hint="eastAsia"/>
                <w:color w:val="auto"/>
                <w:sz w:val="24"/>
                <w:u w:val="none"/>
                <w:lang w:val="en-US" w:eastAsia="zh-CN"/>
              </w:rPr>
              <w:t>物</w:t>
            </w:r>
            <w:r>
              <w:rPr>
                <w:rFonts w:hint="eastAsia"/>
                <w:color w:val="auto"/>
                <w:sz w:val="24"/>
                <w:u w:val="none"/>
              </w:rPr>
              <w:t>多样性红色名录》易危等级的物种、极小种群物种。评价区内不存在候鸟迁徙聚集点，不处于候鸟迁徙的线路区，所在区域生态环境人工干扰较大，总体生态环境一般。</w:t>
            </w:r>
          </w:p>
          <w:p w14:paraId="57994DE5">
            <w:pPr>
              <w:autoSpaceDE w:val="0"/>
              <w:autoSpaceDN w:val="0"/>
              <w:rPr>
                <w:b/>
                <w:kern w:val="0"/>
                <w:u w:val="none"/>
              </w:rPr>
            </w:pPr>
            <w:r>
              <w:rPr>
                <w:b/>
                <w:kern w:val="0"/>
                <w:u w:val="none"/>
              </w:rPr>
              <w:t>3.2地表水环境</w:t>
            </w:r>
          </w:p>
          <w:p w14:paraId="054C4200">
            <w:pPr>
              <w:ind w:firstLine="480"/>
              <w:rPr>
                <w:u w:val="none"/>
              </w:rPr>
            </w:pPr>
            <w:r>
              <w:rPr>
                <w:u w:val="none"/>
              </w:rPr>
              <w:t>根据现场收资，本项目评价范围内无水体分布，经与</w:t>
            </w:r>
            <w:r>
              <w:rPr>
                <w:rFonts w:hint="eastAsia"/>
                <w:u w:val="none"/>
                <w:lang w:val="en-US" w:eastAsia="zh-CN"/>
              </w:rPr>
              <w:t>柳州</w:t>
            </w:r>
            <w:r>
              <w:rPr>
                <w:u w:val="none"/>
              </w:rPr>
              <w:t>市生态环境局核实，</w:t>
            </w:r>
            <w:r>
              <w:rPr>
                <w:rFonts w:hint="eastAsia"/>
                <w:u w:val="none"/>
              </w:rPr>
              <w:t>本项目</w:t>
            </w:r>
            <w:r>
              <w:rPr>
                <w:u w:val="none"/>
              </w:rPr>
              <w:t>不涉及饮用水水源保护区。</w:t>
            </w:r>
          </w:p>
          <w:p w14:paraId="0A4A2C07">
            <w:pPr>
              <w:autoSpaceDE w:val="0"/>
              <w:autoSpaceDN w:val="0"/>
              <w:rPr>
                <w:u w:val="none"/>
              </w:rPr>
            </w:pPr>
            <w:r>
              <w:rPr>
                <w:b/>
                <w:kern w:val="0"/>
                <w:u w:val="none"/>
              </w:rPr>
              <w:t>3.3大气环境</w:t>
            </w:r>
          </w:p>
          <w:p w14:paraId="3339F8E1">
            <w:pPr>
              <w:shd w:val="clear"/>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根据</w:t>
            </w: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rPr>
              <w:t>2023年柳州市生态环境状况公报》，202</w:t>
            </w:r>
            <w:r>
              <w:rPr>
                <w:rFonts w:hint="default" w:ascii="Times New Roman" w:hAnsi="Times New Roman" w:cs="Times New Roman"/>
                <w:sz w:val="24"/>
                <w:szCs w:val="24"/>
                <w:u w:val="none"/>
                <w:lang w:val="en-US" w:eastAsia="zh-CN"/>
              </w:rPr>
              <w:t>3</w:t>
            </w:r>
            <w:r>
              <w:rPr>
                <w:rFonts w:hint="default" w:ascii="Times New Roman" w:hAnsi="Times New Roman" w:cs="Times New Roman"/>
                <w:sz w:val="24"/>
                <w:szCs w:val="24"/>
                <w:u w:val="none"/>
              </w:rPr>
              <w:t>年</w:t>
            </w:r>
            <w:r>
              <w:rPr>
                <w:rFonts w:hint="eastAsia" w:cs="Times New Roman"/>
                <w:sz w:val="24"/>
                <w:szCs w:val="24"/>
                <w:u w:val="none"/>
                <w:lang w:eastAsia="zh-CN"/>
              </w:rPr>
              <w:t>柳州市</w:t>
            </w:r>
            <w:r>
              <w:rPr>
                <w:rFonts w:hint="default" w:ascii="Times New Roman" w:hAnsi="Times New Roman" w:cs="Times New Roman"/>
                <w:sz w:val="24"/>
                <w:szCs w:val="24"/>
                <w:u w:val="none"/>
              </w:rPr>
              <w:t>AQI优良率为9</w:t>
            </w:r>
            <w:r>
              <w:rPr>
                <w:rFonts w:hint="default" w:ascii="Times New Roman" w:hAnsi="Times New Roman" w:cs="Times New Roman"/>
                <w:sz w:val="24"/>
                <w:szCs w:val="24"/>
                <w:u w:val="none"/>
                <w:lang w:val="en-US" w:eastAsia="zh-CN"/>
              </w:rPr>
              <w:t>7.3</w:t>
            </w:r>
            <w:r>
              <w:rPr>
                <w:rFonts w:hint="default" w:ascii="Times New Roman" w:hAnsi="Times New Roman" w:cs="Times New Roman"/>
                <w:sz w:val="24"/>
                <w:szCs w:val="24"/>
                <w:u w:val="none"/>
              </w:rPr>
              <w:t>%，</w:t>
            </w:r>
            <w:r>
              <w:rPr>
                <w:rFonts w:hint="default" w:ascii="Times New Roman" w:hAnsi="Times New Roman" w:eastAsia="Segoe UI" w:cs="Times New Roman"/>
                <w:i w:val="0"/>
                <w:iCs w:val="0"/>
                <w:caps w:val="0"/>
                <w:spacing w:val="0"/>
                <w:sz w:val="24"/>
                <w:szCs w:val="24"/>
                <w:u w:val="none"/>
                <w:shd w:val="clear"/>
              </w:rPr>
              <w:t>环境空气中二氧化硫（SO₂）年均浓度9 μg/m³，二氧化氮（NO₂）年均浓度17 μg/m³，可吸入颗粒物（PM₁₀）年均浓度43 μg/m³，细颗粒物（PM₂.₅）年均浓度27.5 μg/m³，一氧化碳（CO）浓度1.1 mg/m³，臭氧（O₃）浓度120 μg/m³。</w:t>
            </w:r>
            <w:r>
              <w:rPr>
                <w:rFonts w:hint="default" w:ascii="Times New Roman" w:hAnsi="Times New Roman" w:cs="Times New Roman"/>
                <w:sz w:val="24"/>
                <w:szCs w:val="24"/>
                <w:u w:val="none"/>
                <w:shd w:val="clear"/>
              </w:rPr>
              <w:t>均达到《环境空气质量标准》（GB3095-2012）二级标准要求，项目所在区域为空气质量达标区。</w:t>
            </w:r>
          </w:p>
          <w:p w14:paraId="253A54AC">
            <w:pPr>
              <w:rPr>
                <w:rFonts w:hint="default" w:ascii="Times New Roman" w:hAnsi="Times New Roman" w:cs="Times New Roman"/>
                <w:bCs/>
                <w:u w:val="none"/>
              </w:rPr>
            </w:pPr>
            <w:r>
              <w:rPr>
                <w:b/>
                <w:kern w:val="0"/>
                <w:u w:val="none"/>
              </w:rPr>
              <w:t>3.</w:t>
            </w:r>
            <w:r>
              <w:rPr>
                <w:rFonts w:hint="default" w:ascii="Times New Roman" w:hAnsi="Times New Roman" w:cs="Times New Roman"/>
                <w:b/>
                <w:kern w:val="0"/>
                <w:u w:val="none"/>
              </w:rPr>
              <w:t>4电磁环境质量现状</w:t>
            </w:r>
          </w:p>
          <w:p w14:paraId="5B4B4CC8">
            <w:pPr>
              <w:adjustRightInd w:val="0"/>
              <w:snapToGrid w:val="0"/>
              <w:ind w:firstLine="480"/>
              <w:rPr>
                <w:rFonts w:hint="default" w:eastAsia="宋体"/>
                <w:lang w:val="en-US" w:eastAsia="zh-CN"/>
              </w:rPr>
            </w:pPr>
            <w:r>
              <w:rPr>
                <w:rFonts w:hint="default" w:ascii="Times New Roman" w:hAnsi="Times New Roman" w:eastAsia="宋体" w:cs="Times New Roman"/>
                <w:u w:val="none"/>
              </w:rPr>
              <w:t>根据本项目环境敏感点分布情况，结合工程特点并考虑监测可操作性等原则，本项目共设</w:t>
            </w:r>
            <w:r>
              <w:rPr>
                <w:rFonts w:hint="eastAsia" w:ascii="Times New Roman" w:hAnsi="Times New Roman" w:eastAsia="宋体" w:cs="Times New Roman"/>
                <w:u w:val="none"/>
                <w:lang w:val="en-US" w:eastAsia="zh-CN"/>
              </w:rPr>
              <w:t>6</w:t>
            </w:r>
            <w:r>
              <w:rPr>
                <w:rFonts w:hint="default" w:ascii="Times New Roman" w:hAnsi="Times New Roman" w:eastAsia="宋体" w:cs="Times New Roman"/>
                <w:u w:val="none"/>
              </w:rPr>
              <w:t>个电磁环境现状监测点位。根据电磁环境现状监测结果220kV</w:t>
            </w:r>
            <w:r>
              <w:rPr>
                <w:rFonts w:hint="default" w:ascii="Times New Roman" w:hAnsi="Times New Roman" w:eastAsia="宋体" w:cs="Times New Roman"/>
                <w:u w:val="none"/>
                <w:lang w:val="en-US" w:eastAsia="zh-CN"/>
              </w:rPr>
              <w:t>果山</w:t>
            </w:r>
            <w:r>
              <w:rPr>
                <w:rFonts w:hint="default" w:ascii="Times New Roman" w:hAnsi="Times New Roman" w:eastAsia="宋体" w:cs="Times New Roman"/>
                <w:u w:val="none"/>
              </w:rPr>
              <w:t>变电站厂界工频电场强度为3.1～</w:t>
            </w:r>
            <w:r>
              <w:rPr>
                <w:rFonts w:hint="default" w:ascii="Times New Roman" w:hAnsi="Times New Roman" w:eastAsia="宋体" w:cs="Times New Roman"/>
                <w:u w:val="none"/>
                <w:lang w:val="en-US" w:eastAsia="zh-CN"/>
              </w:rPr>
              <w:t>129.5</w:t>
            </w:r>
            <w:r>
              <w:rPr>
                <w:rFonts w:hint="default" w:ascii="Times New Roman" w:hAnsi="Times New Roman" w:eastAsia="宋体" w:cs="Times New Roman"/>
                <w:u w:val="none"/>
              </w:rPr>
              <w:t>V/m，工频磁感应强度为0.0</w:t>
            </w:r>
            <w:r>
              <w:rPr>
                <w:rFonts w:hint="default" w:ascii="Times New Roman" w:hAnsi="Times New Roman" w:eastAsia="宋体" w:cs="Times New Roman"/>
                <w:u w:val="none"/>
                <w:lang w:val="en-US" w:eastAsia="zh-CN"/>
              </w:rPr>
              <w:t>9</w:t>
            </w:r>
            <w:r>
              <w:rPr>
                <w:rFonts w:hint="default" w:ascii="Times New Roman" w:hAnsi="Times New Roman" w:eastAsia="宋体" w:cs="Times New Roman"/>
                <w:u w:val="none"/>
              </w:rPr>
              <w:t>～</w:t>
            </w:r>
            <w:r>
              <w:rPr>
                <w:rFonts w:hint="default" w:ascii="Times New Roman" w:hAnsi="Times New Roman" w:eastAsia="宋体" w:cs="Times New Roman"/>
                <w:u w:val="none"/>
                <w:lang w:val="en-US" w:eastAsia="zh-CN"/>
              </w:rPr>
              <w:t>0.35</w:t>
            </w:r>
            <w:r>
              <w:rPr>
                <w:rFonts w:hint="default" w:ascii="Times New Roman" w:hAnsi="Times New Roman" w:eastAsia="宋体" w:cs="Times New Roman"/>
                <w:u w:val="none"/>
              </w:rPr>
              <w:t>μT。</w:t>
            </w:r>
            <w:r>
              <w:rPr>
                <w:rFonts w:hint="default" w:ascii="Times New Roman" w:hAnsi="Times New Roman" w:eastAsia="宋体" w:cs="Times New Roman"/>
                <w:u w:val="none"/>
                <w:lang w:val="en-US" w:eastAsia="zh-CN"/>
              </w:rPr>
              <w:t>电磁</w:t>
            </w:r>
            <w:r>
              <w:rPr>
                <w:rFonts w:hint="default" w:ascii="Times New Roman" w:hAnsi="Times New Roman" w:eastAsia="宋体" w:cs="Times New Roman"/>
                <w:u w:val="none"/>
              </w:rPr>
              <w:t>环境敏感目标</w:t>
            </w:r>
            <w:r>
              <w:rPr>
                <w:rFonts w:hint="default" w:ascii="Times New Roman" w:hAnsi="Times New Roman" w:eastAsia="宋体" w:cs="Times New Roman"/>
                <w:u w:val="none"/>
                <w:lang w:eastAsia="zh-CN"/>
              </w:rPr>
              <w:t>：</w:t>
            </w:r>
            <w:r>
              <w:rPr>
                <w:rFonts w:hint="default" w:ascii="Times New Roman" w:hAnsi="Times New Roman" w:eastAsia="宋体" w:cs="Times New Roman"/>
                <w:u w:val="none"/>
              </w:rPr>
              <w:t>骆铭印刷厂工频电场强度为</w:t>
            </w:r>
            <w:r>
              <w:rPr>
                <w:rFonts w:hint="default" w:ascii="Times New Roman" w:hAnsi="Times New Roman" w:eastAsia="宋体" w:cs="Times New Roman"/>
                <w:u w:val="none"/>
                <w:lang w:val="en-US" w:eastAsia="zh-CN"/>
              </w:rPr>
              <w:t>1.8</w:t>
            </w:r>
            <w:r>
              <w:rPr>
                <w:rFonts w:hint="default" w:ascii="Times New Roman" w:hAnsi="Times New Roman" w:eastAsia="宋体" w:cs="Times New Roman"/>
                <w:u w:val="none"/>
              </w:rPr>
              <w:t>V/m，工频磁感应强度为0.</w:t>
            </w:r>
            <w:r>
              <w:rPr>
                <w:rFonts w:hint="default" w:ascii="Times New Roman" w:hAnsi="Times New Roman" w:eastAsia="宋体" w:cs="Times New Roman"/>
                <w:u w:val="none"/>
                <w:lang w:val="en-US" w:eastAsia="zh-CN"/>
              </w:rPr>
              <w:t>09</w:t>
            </w:r>
            <w:r>
              <w:rPr>
                <w:rFonts w:hint="default" w:ascii="Times New Roman" w:hAnsi="Times New Roman" w:eastAsia="宋体" w:cs="Times New Roman"/>
                <w:u w:val="none"/>
              </w:rPr>
              <w:t>μT。满足《电磁环境控制限值》（GB8702-2014）中工频电场强度4000V/m及工频磁感应强度100μT的公众曝露控制限值要求。</w:t>
            </w:r>
            <w:r>
              <w:rPr>
                <w:rFonts w:hint="eastAsia"/>
                <w:lang w:val="en-US" w:eastAsia="zh-CN"/>
              </w:rPr>
              <w:t>本工程监测点位和监测数据具体见下表</w:t>
            </w:r>
          </w:p>
          <w:p w14:paraId="09FD9D2A">
            <w:pPr>
              <w:pStyle w:val="30"/>
              <w:spacing w:before="72" w:after="120"/>
              <w:ind w:firstLine="422"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表3.5-1</w:t>
            </w:r>
            <w:r>
              <w:rPr>
                <w:rFonts w:hint="eastAsia" w:cs="Times New Roman"/>
                <w:sz w:val="21"/>
                <w:szCs w:val="21"/>
                <w:highlight w:val="none"/>
                <w:u w:val="none"/>
                <w:lang w:val="en-US" w:eastAsia="zh-CN"/>
              </w:rPr>
              <w:t>电磁</w:t>
            </w:r>
            <w:r>
              <w:rPr>
                <w:rFonts w:ascii="Times New Roman" w:hAnsi="Times New Roman" w:eastAsia="宋体" w:cs="Times New Roman"/>
                <w:sz w:val="21"/>
                <w:szCs w:val="21"/>
                <w:highlight w:val="none"/>
                <w:u w:val="none"/>
              </w:rPr>
              <w:t>质量现状监测点位情况</w:t>
            </w:r>
          </w:p>
          <w:tbl>
            <w:tblPr>
              <w:tblStyle w:val="19"/>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12"/>
              <w:gridCol w:w="1588"/>
              <w:gridCol w:w="1402"/>
              <w:gridCol w:w="1471"/>
            </w:tblGrid>
            <w:tr w14:paraId="708F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30" w:type="pct"/>
                  <w:tcMar>
                    <w:left w:w="28" w:type="dxa"/>
                    <w:right w:w="28" w:type="dxa"/>
                  </w:tcMar>
                  <w:vAlign w:val="center"/>
                </w:tcPr>
                <w:p w14:paraId="6ACDF710">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监测点位</w:t>
                  </w:r>
                </w:p>
              </w:tc>
              <w:tc>
                <w:tcPr>
                  <w:tcW w:w="1805" w:type="pct"/>
                  <w:tcMar>
                    <w:left w:w="28" w:type="dxa"/>
                    <w:right w:w="28" w:type="dxa"/>
                  </w:tcMar>
                  <w:vAlign w:val="center"/>
                </w:tcPr>
                <w:p w14:paraId="16B2B336">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名称</w:t>
                  </w:r>
                </w:p>
              </w:tc>
              <w:tc>
                <w:tcPr>
                  <w:tcW w:w="1019" w:type="pct"/>
                  <w:tcMar>
                    <w:left w:w="28" w:type="dxa"/>
                    <w:right w:w="28" w:type="dxa"/>
                  </w:tcMar>
                  <w:vAlign w:val="center"/>
                </w:tcPr>
                <w:p w14:paraId="440FB283">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相对位置</w:t>
                  </w:r>
                </w:p>
              </w:tc>
              <w:tc>
                <w:tcPr>
                  <w:tcW w:w="900" w:type="pct"/>
                  <w:vAlign w:val="center"/>
                </w:tcPr>
                <w:p w14:paraId="6FED5DE7">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工频电场强度</w:t>
                  </w:r>
                </w:p>
                <w:p w14:paraId="5626948E">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（V/m）</w:t>
                  </w:r>
                </w:p>
              </w:tc>
              <w:tc>
                <w:tcPr>
                  <w:tcW w:w="944" w:type="pct"/>
                  <w:vAlign w:val="center"/>
                </w:tcPr>
                <w:p w14:paraId="6B6DA8D3">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工频磁感应强度</w:t>
                  </w:r>
                </w:p>
                <w:p w14:paraId="62AC51DD">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（μT）</w:t>
                  </w:r>
                </w:p>
              </w:tc>
            </w:tr>
            <w:tr w14:paraId="7B96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75FB187D">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bidi="ar"/>
                    </w:rPr>
                    <w:t>1</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restart"/>
                  <w:tcMar>
                    <w:left w:w="28" w:type="dxa"/>
                    <w:right w:w="28" w:type="dxa"/>
                  </w:tcMar>
                  <w:vAlign w:val="center"/>
                </w:tcPr>
                <w:p w14:paraId="170D2691">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果山变电站厂界</w:t>
                  </w:r>
                </w:p>
              </w:tc>
              <w:tc>
                <w:tcPr>
                  <w:tcW w:w="1019" w:type="pct"/>
                  <w:tcMar>
                    <w:left w:w="28" w:type="dxa"/>
                    <w:right w:w="28" w:type="dxa"/>
                  </w:tcMar>
                  <w:vAlign w:val="center"/>
                </w:tcPr>
                <w:p w14:paraId="31C2D3ED">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变电站西侧</w:t>
                  </w:r>
                </w:p>
              </w:tc>
              <w:tc>
                <w:tcPr>
                  <w:tcW w:w="900" w:type="pct"/>
                  <w:tcBorders>
                    <w:top w:val="nil"/>
                  </w:tcBorders>
                  <w:vAlign w:val="center"/>
                </w:tcPr>
                <w:p w14:paraId="1F4C5228">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3.1</w:t>
                  </w:r>
                </w:p>
              </w:tc>
              <w:tc>
                <w:tcPr>
                  <w:tcW w:w="944" w:type="pct"/>
                  <w:tcBorders>
                    <w:top w:val="nil"/>
                    <w:left w:val="nil"/>
                  </w:tcBorders>
                  <w:vAlign w:val="center"/>
                </w:tcPr>
                <w:p w14:paraId="3E9DB113">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r w14:paraId="43AB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41DA0A40">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bidi="ar"/>
                    </w:rPr>
                    <w:t>2</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3C3B9894">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59063159">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变电站北侧</w:t>
                  </w:r>
                </w:p>
              </w:tc>
              <w:tc>
                <w:tcPr>
                  <w:tcW w:w="900" w:type="pct"/>
                  <w:tcBorders>
                    <w:top w:val="nil"/>
                  </w:tcBorders>
                  <w:vAlign w:val="center"/>
                </w:tcPr>
                <w:p w14:paraId="511316E4">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50.1</w:t>
                  </w:r>
                </w:p>
              </w:tc>
              <w:tc>
                <w:tcPr>
                  <w:tcW w:w="944" w:type="pct"/>
                  <w:tcBorders>
                    <w:top w:val="nil"/>
                    <w:left w:val="nil"/>
                  </w:tcBorders>
                  <w:vAlign w:val="center"/>
                </w:tcPr>
                <w:p w14:paraId="2BBA790E">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0.13</w:t>
                  </w:r>
                </w:p>
              </w:tc>
            </w:tr>
            <w:tr w14:paraId="6EB1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0" w:type="pct"/>
                  <w:tcMar>
                    <w:left w:w="28" w:type="dxa"/>
                    <w:right w:w="28" w:type="dxa"/>
                  </w:tcMar>
                  <w:vAlign w:val="center"/>
                </w:tcPr>
                <w:p w14:paraId="58F481EC">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3</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74585CCF">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08EE68A8">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变电站东南侧</w:t>
                  </w:r>
                </w:p>
              </w:tc>
              <w:tc>
                <w:tcPr>
                  <w:tcW w:w="900" w:type="pct"/>
                  <w:tcBorders>
                    <w:top w:val="nil"/>
                  </w:tcBorders>
                  <w:vAlign w:val="center"/>
                </w:tcPr>
                <w:p w14:paraId="3CC06AA0">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129.5</w:t>
                  </w:r>
                </w:p>
              </w:tc>
              <w:tc>
                <w:tcPr>
                  <w:tcW w:w="944" w:type="pct"/>
                  <w:tcBorders>
                    <w:top w:val="nil"/>
                    <w:left w:val="nil"/>
                  </w:tcBorders>
                  <w:vAlign w:val="center"/>
                </w:tcPr>
                <w:p w14:paraId="2E1B15E5">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0.35</w:t>
                  </w:r>
                </w:p>
              </w:tc>
            </w:tr>
            <w:tr w14:paraId="102E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38F6872A">
                  <w:pPr>
                    <w:widowControl/>
                    <w:jc w:val="center"/>
                    <w:textAlignment w:val="center"/>
                    <w:rPr>
                      <w:rFonts w:hint="default" w:ascii="Times New Roman" w:hAnsi="Times New Roman" w:eastAsia="宋体" w:cs="Times New Roman"/>
                      <w:color w:val="000000"/>
                      <w:kern w:val="0"/>
                      <w:sz w:val="21"/>
                      <w:szCs w:val="21"/>
                      <w:highlight w:val="none"/>
                      <w:u w:val="none"/>
                      <w:lang w:bidi="ar"/>
                    </w:rPr>
                  </w:pPr>
                  <w:r>
                    <w:rPr>
                      <w:rFonts w:hint="default" w:ascii="Times New Roman" w:hAnsi="Times New Roman" w:eastAsia="宋体" w:cs="Times New Roman"/>
                      <w:color w:val="000000"/>
                      <w:kern w:val="0"/>
                      <w:sz w:val="21"/>
                      <w:szCs w:val="21"/>
                      <w:highlight w:val="none"/>
                      <w:u w:val="none"/>
                      <w:lang w:bidi="ar"/>
                    </w:rPr>
                    <w:t>4</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04C78BA6">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32155183">
                  <w:pPr>
                    <w:widowControl/>
                    <w:spacing w:line="240" w:lineRule="auto"/>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变电站南侧（沙场门口）</w:t>
                  </w:r>
                </w:p>
              </w:tc>
              <w:tc>
                <w:tcPr>
                  <w:tcW w:w="900" w:type="pct"/>
                  <w:tcBorders>
                    <w:top w:val="nil"/>
                  </w:tcBorders>
                  <w:vAlign w:val="center"/>
                </w:tcPr>
                <w:p w14:paraId="1924343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35.8</w:t>
                  </w:r>
                </w:p>
              </w:tc>
              <w:tc>
                <w:tcPr>
                  <w:tcW w:w="944" w:type="pct"/>
                  <w:tcBorders>
                    <w:top w:val="nil"/>
                    <w:left w:val="nil"/>
                  </w:tcBorders>
                  <w:vAlign w:val="center"/>
                </w:tcPr>
                <w:p w14:paraId="7783131F">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0.16</w:t>
                  </w:r>
                </w:p>
              </w:tc>
            </w:tr>
            <w:tr w14:paraId="189B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4817B240">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5#</w:t>
                  </w:r>
                </w:p>
              </w:tc>
              <w:tc>
                <w:tcPr>
                  <w:tcW w:w="1805" w:type="pct"/>
                  <w:vMerge w:val="continue"/>
                  <w:tcMar>
                    <w:left w:w="28" w:type="dxa"/>
                    <w:right w:w="28" w:type="dxa"/>
                  </w:tcMar>
                  <w:vAlign w:val="center"/>
                </w:tcPr>
                <w:p w14:paraId="65DF955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1004A09B">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变电站西南侧</w:t>
                  </w:r>
                </w:p>
              </w:tc>
              <w:tc>
                <w:tcPr>
                  <w:tcW w:w="900" w:type="pct"/>
                  <w:tcBorders>
                    <w:top w:val="nil"/>
                  </w:tcBorders>
                  <w:vAlign w:val="center"/>
                </w:tcPr>
                <w:p w14:paraId="48924E7B">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1.3</w:t>
                  </w:r>
                </w:p>
              </w:tc>
              <w:tc>
                <w:tcPr>
                  <w:tcW w:w="944" w:type="pct"/>
                  <w:tcBorders>
                    <w:top w:val="nil"/>
                    <w:left w:val="nil"/>
                  </w:tcBorders>
                  <w:vAlign w:val="center"/>
                </w:tcPr>
                <w:p w14:paraId="27300EB0">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r w14:paraId="1BD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10DC4517">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6#</w:t>
                  </w:r>
                </w:p>
              </w:tc>
              <w:tc>
                <w:tcPr>
                  <w:tcW w:w="1805" w:type="pct"/>
                  <w:tcMar>
                    <w:left w:w="28" w:type="dxa"/>
                    <w:right w:w="28" w:type="dxa"/>
                  </w:tcMar>
                  <w:vAlign w:val="center"/>
                </w:tcPr>
                <w:p w14:paraId="714A4EF7">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eastAsia" w:ascii="Times New Roman" w:hAnsi="Times New Roman" w:eastAsia="宋体" w:cs="Times New Roman"/>
                      <w:color w:val="000000"/>
                      <w:kern w:val="0"/>
                      <w:sz w:val="21"/>
                      <w:szCs w:val="21"/>
                      <w:highlight w:val="none"/>
                      <w:u w:val="none"/>
                      <w:lang w:val="en-US" w:eastAsia="zh-CN" w:bidi="ar"/>
                    </w:rPr>
                    <w:t>柳州市骏铭印刷厂</w:t>
                  </w:r>
                </w:p>
              </w:tc>
              <w:tc>
                <w:tcPr>
                  <w:tcW w:w="1019" w:type="pct"/>
                  <w:tcMar>
                    <w:left w:w="28" w:type="dxa"/>
                    <w:right w:w="28" w:type="dxa"/>
                  </w:tcMar>
                  <w:vAlign w:val="center"/>
                </w:tcPr>
                <w:p w14:paraId="1D1755E4">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厂界</w:t>
                  </w:r>
                  <w:r>
                    <w:rPr>
                      <w:rFonts w:hint="eastAsia" w:cs="Times New Roman"/>
                      <w:color w:val="000000"/>
                      <w:kern w:val="0"/>
                      <w:sz w:val="21"/>
                      <w:szCs w:val="21"/>
                      <w:highlight w:val="none"/>
                      <w:u w:val="none"/>
                      <w:lang w:val="en-US" w:eastAsia="zh-CN" w:bidi="ar"/>
                    </w:rPr>
                    <w:t>西</w:t>
                  </w:r>
                  <w:r>
                    <w:rPr>
                      <w:rFonts w:hint="default" w:ascii="Times New Roman" w:hAnsi="Times New Roman" w:eastAsia="宋体" w:cs="Times New Roman"/>
                      <w:color w:val="000000"/>
                      <w:kern w:val="0"/>
                      <w:sz w:val="21"/>
                      <w:szCs w:val="21"/>
                      <w:highlight w:val="none"/>
                      <w:u w:val="none"/>
                      <w:lang w:bidi="ar"/>
                    </w:rPr>
                    <w:t>侧</w:t>
                  </w:r>
                  <w:r>
                    <w:rPr>
                      <w:rFonts w:hint="eastAsia" w:cs="Times New Roman"/>
                      <w:color w:val="000000"/>
                      <w:kern w:val="0"/>
                      <w:sz w:val="21"/>
                      <w:szCs w:val="21"/>
                      <w:highlight w:val="none"/>
                      <w:u w:val="none"/>
                      <w:lang w:val="en-US" w:eastAsia="zh-CN" w:bidi="ar"/>
                    </w:rPr>
                    <w:t>13</w:t>
                  </w:r>
                  <w:r>
                    <w:rPr>
                      <w:rFonts w:hint="default" w:ascii="Times New Roman" w:hAnsi="Times New Roman" w:eastAsia="宋体" w:cs="Times New Roman"/>
                      <w:color w:val="000000"/>
                      <w:kern w:val="0"/>
                      <w:sz w:val="21"/>
                      <w:szCs w:val="21"/>
                      <w:highlight w:val="none"/>
                      <w:u w:val="none"/>
                      <w:lang w:bidi="ar"/>
                    </w:rPr>
                    <w:t>m</w:t>
                  </w:r>
                </w:p>
              </w:tc>
              <w:tc>
                <w:tcPr>
                  <w:tcW w:w="1671" w:type="dxa"/>
                  <w:vAlign w:val="center"/>
                </w:tcPr>
                <w:p w14:paraId="47D06EA0">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1.8</w:t>
                  </w:r>
                </w:p>
              </w:tc>
              <w:tc>
                <w:tcPr>
                  <w:tcW w:w="1753" w:type="dxa"/>
                  <w:vAlign w:val="center"/>
                </w:tcPr>
                <w:p w14:paraId="06E8A5F4">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bl>
          <w:p w14:paraId="68E47A00">
            <w:pPr>
              <w:pStyle w:val="9"/>
              <w:rPr>
                <w:rFonts w:hint="default"/>
              </w:rPr>
            </w:pPr>
          </w:p>
          <w:p w14:paraId="10D3B2B1">
            <w:pPr>
              <w:autoSpaceDE w:val="0"/>
              <w:autoSpaceDN w:val="0"/>
              <w:adjustRightInd w:val="0"/>
              <w:snapToGrid w:val="0"/>
              <w:rPr>
                <w:b/>
                <w:kern w:val="0"/>
                <w:u w:val="none"/>
              </w:rPr>
            </w:pPr>
            <w:r>
              <w:rPr>
                <w:b/>
                <w:kern w:val="0"/>
                <w:u w:val="none"/>
              </w:rPr>
              <w:t>3.5声环境</w:t>
            </w:r>
          </w:p>
          <w:p w14:paraId="12854332">
            <w:pPr>
              <w:adjustRightInd w:val="0"/>
              <w:snapToGrid w:val="0"/>
              <w:ind w:firstLine="480"/>
              <w:rPr>
                <w:rFonts w:hint="eastAsia" w:ascii="Times New Roman" w:hAnsi="Times New Roman" w:eastAsia="宋体" w:cs="Times New Roman"/>
                <w:u w:val="none"/>
              </w:rPr>
            </w:pPr>
            <w:r>
              <w:rPr>
                <w:rFonts w:hint="eastAsia" w:ascii="Times New Roman" w:hAnsi="Times New Roman" w:eastAsia="宋体" w:cs="Times New Roman"/>
                <w:u w:val="none"/>
              </w:rPr>
              <w:t>为了解项目所在区域声环境质量现状，本次评价委托广西壮族自治区辐射环境监督管理站进行现状监测，监测时间为202</w:t>
            </w:r>
            <w:r>
              <w:rPr>
                <w:rFonts w:hint="eastAsia" w:ascii="Times New Roman" w:hAnsi="Times New Roman" w:eastAsia="宋体" w:cs="Times New Roman"/>
                <w:u w:val="none"/>
                <w:lang w:val="en-US" w:eastAsia="zh-CN"/>
              </w:rPr>
              <w:t>5</w:t>
            </w:r>
            <w:r>
              <w:rPr>
                <w:rFonts w:hint="eastAsia" w:ascii="Times New Roman" w:hAnsi="Times New Roman" w:eastAsia="宋体" w:cs="Times New Roman"/>
                <w:u w:val="none"/>
              </w:rPr>
              <w:t>年</w:t>
            </w:r>
            <w:r>
              <w:rPr>
                <w:rFonts w:hint="eastAsia" w:ascii="Times New Roman" w:hAnsi="Times New Roman" w:eastAsia="宋体" w:cs="Times New Roman"/>
                <w:u w:val="none"/>
                <w:lang w:val="en-US" w:eastAsia="zh-CN"/>
              </w:rPr>
              <w:t>5</w:t>
            </w:r>
            <w:r>
              <w:rPr>
                <w:rFonts w:hint="eastAsia" w:ascii="Times New Roman" w:hAnsi="Times New Roman" w:eastAsia="宋体" w:cs="Times New Roman"/>
                <w:u w:val="none"/>
              </w:rPr>
              <w:t>月</w:t>
            </w:r>
            <w:r>
              <w:rPr>
                <w:rFonts w:hint="eastAsia" w:ascii="Times New Roman" w:hAnsi="Times New Roman" w:eastAsia="宋体" w:cs="Times New Roman"/>
                <w:u w:val="none"/>
                <w:lang w:val="en-US" w:eastAsia="zh-CN"/>
              </w:rPr>
              <w:t>19</w:t>
            </w:r>
            <w:r>
              <w:rPr>
                <w:rFonts w:hint="eastAsia" w:ascii="Times New Roman" w:hAnsi="Times New Roman" w:eastAsia="宋体" w:cs="Times New Roman"/>
                <w:u w:val="none"/>
              </w:rPr>
              <w:t>日</w:t>
            </w:r>
          </w:p>
          <w:p w14:paraId="33870050">
            <w:pPr>
              <w:snapToGrid w:val="0"/>
              <w:spacing w:line="360" w:lineRule="auto"/>
              <w:ind w:firstLine="480" w:firstLineChars="200"/>
              <w:rPr>
                <w:sz w:val="24"/>
                <w:u w:val="none"/>
              </w:rPr>
            </w:pPr>
            <w:r>
              <w:rPr>
                <w:rFonts w:hint="eastAsia"/>
                <w:sz w:val="24"/>
                <w:u w:val="none"/>
              </w:rPr>
              <w:t>（1）监测因子及监测频次</w:t>
            </w:r>
          </w:p>
          <w:p w14:paraId="579A4546">
            <w:pPr>
              <w:snapToGrid w:val="0"/>
              <w:spacing w:line="360" w:lineRule="auto"/>
              <w:ind w:firstLine="480" w:firstLineChars="200"/>
              <w:rPr>
                <w:sz w:val="24"/>
                <w:u w:val="none"/>
              </w:rPr>
            </w:pPr>
            <w:r>
              <w:rPr>
                <w:rFonts w:hint="eastAsia"/>
                <w:sz w:val="24"/>
                <w:u w:val="none"/>
              </w:rPr>
              <w:t>监测因子：昼间、夜间等效连续A声级。</w:t>
            </w:r>
          </w:p>
          <w:p w14:paraId="013CF26B">
            <w:pPr>
              <w:snapToGrid w:val="0"/>
              <w:spacing w:line="360" w:lineRule="auto"/>
              <w:ind w:firstLine="480" w:firstLineChars="200"/>
              <w:rPr>
                <w:sz w:val="24"/>
                <w:u w:val="none"/>
              </w:rPr>
            </w:pPr>
            <w:r>
              <w:rPr>
                <w:rFonts w:hint="eastAsia"/>
                <w:sz w:val="24"/>
                <w:u w:val="none"/>
              </w:rPr>
              <w:t>监测频次：昼间、夜间各监测1次。</w:t>
            </w:r>
          </w:p>
          <w:p w14:paraId="673AAAD7">
            <w:pPr>
              <w:snapToGrid w:val="0"/>
              <w:spacing w:line="360" w:lineRule="auto"/>
              <w:ind w:firstLine="480" w:firstLineChars="200"/>
              <w:rPr>
                <w:sz w:val="24"/>
                <w:u w:val="none"/>
              </w:rPr>
            </w:pPr>
            <w:r>
              <w:rPr>
                <w:rFonts w:hint="eastAsia"/>
                <w:sz w:val="24"/>
                <w:u w:val="none"/>
              </w:rPr>
              <w:t>（2）监测方法及布点</w:t>
            </w:r>
          </w:p>
          <w:p w14:paraId="109BAF06">
            <w:pPr>
              <w:snapToGrid w:val="0"/>
              <w:spacing w:line="360" w:lineRule="auto"/>
              <w:ind w:firstLine="480" w:firstLineChars="200"/>
              <w:rPr>
                <w:sz w:val="24"/>
                <w:u w:val="none"/>
              </w:rPr>
            </w:pPr>
            <w:r>
              <w:rPr>
                <w:rFonts w:hint="eastAsia"/>
                <w:sz w:val="24"/>
                <w:u w:val="none"/>
              </w:rPr>
              <w:t>监测方法：《声环境质量标准》（GB3096-2008）、《工业企业厂界环境噪声排放标准》（GB12348-2008）。</w:t>
            </w:r>
          </w:p>
          <w:p w14:paraId="2D62D6CE">
            <w:pPr>
              <w:adjustRightInd w:val="0"/>
              <w:snapToGrid w:val="0"/>
              <w:ind w:firstLine="480"/>
              <w:rPr>
                <w:b/>
                <w:u w:val="none"/>
              </w:rPr>
            </w:pPr>
            <w:r>
              <w:rPr>
                <w:u w:val="none"/>
              </w:rPr>
              <w:t>根据本项目环境敏感点分布，结合工程特点并考虑监测可操作性等原则，在变电站</w:t>
            </w:r>
            <w:r>
              <w:rPr>
                <w:rFonts w:hint="eastAsia"/>
                <w:u w:val="none"/>
                <w:lang w:val="en-US" w:eastAsia="zh-CN"/>
              </w:rPr>
              <w:t>西侧、南</w:t>
            </w:r>
            <w:r>
              <w:rPr>
                <w:u w:val="none"/>
              </w:rPr>
              <w:t>侧</w:t>
            </w:r>
            <w:r>
              <w:rPr>
                <w:rFonts w:hint="eastAsia"/>
                <w:u w:val="none"/>
              </w:rPr>
              <w:t>厂界</w:t>
            </w:r>
            <w:r>
              <w:rPr>
                <w:u w:val="none"/>
              </w:rPr>
              <w:t>外1m、高度1.2m处设1个监测点位。</w:t>
            </w:r>
            <w:r>
              <w:rPr>
                <w:rFonts w:hint="eastAsia"/>
                <w:u w:val="none"/>
                <w:lang w:val="en-US" w:eastAsia="zh-CN"/>
              </w:rPr>
              <w:t>声环境保护目标侧-东侧、北侧监测布点</w:t>
            </w:r>
            <w:r>
              <w:rPr>
                <w:rFonts w:hint="eastAsia"/>
                <w:u w:val="none"/>
              </w:rPr>
              <w:t>高于围墙0.5m</w:t>
            </w:r>
            <w:r>
              <w:rPr>
                <w:rFonts w:hint="eastAsia"/>
                <w:u w:val="none"/>
                <w:lang w:eastAsia="zh-CN"/>
              </w:rPr>
              <w:t>；</w:t>
            </w:r>
            <w:r>
              <w:rPr>
                <w:rFonts w:hint="eastAsia"/>
                <w:u w:val="none"/>
                <w:lang w:val="en-US" w:eastAsia="zh-CN"/>
              </w:rPr>
              <w:t>声环境保护目标处局建筑物</w:t>
            </w:r>
            <w:r>
              <w:rPr>
                <w:u w:val="none"/>
              </w:rPr>
              <w:t>外1m</w:t>
            </w:r>
            <w:r>
              <w:rPr>
                <w:rFonts w:hint="eastAsia"/>
                <w:u w:val="none"/>
                <w:lang w:eastAsia="zh-CN"/>
              </w:rPr>
              <w:t>，</w:t>
            </w:r>
            <w:r>
              <w:rPr>
                <w:rFonts w:hint="eastAsia"/>
                <w:u w:val="none"/>
                <w:lang w:val="en-US" w:eastAsia="zh-CN"/>
              </w:rPr>
              <w:t>高</w:t>
            </w:r>
            <w:r>
              <w:rPr>
                <w:rFonts w:hint="eastAsia"/>
                <w:u w:val="none"/>
              </w:rPr>
              <w:t>1.2m</w:t>
            </w:r>
            <w:r>
              <w:rPr>
                <w:rFonts w:hint="eastAsia"/>
                <w:u w:val="none"/>
                <w:lang w:val="en-US" w:eastAsia="zh-CN"/>
              </w:rPr>
              <w:t>处</w:t>
            </w:r>
            <w:r>
              <w:rPr>
                <w:u w:val="none"/>
              </w:rPr>
              <w:t>监测点位置详见附图</w:t>
            </w:r>
            <w:r>
              <w:rPr>
                <w:rFonts w:hint="eastAsia"/>
                <w:u w:val="none"/>
              </w:rPr>
              <w:t>4</w:t>
            </w:r>
            <w:r>
              <w:rPr>
                <w:u w:val="none"/>
              </w:rPr>
              <w:t>，各监测点位具体情况详见表3.5-</w:t>
            </w:r>
            <w:r>
              <w:rPr>
                <w:rFonts w:hint="eastAsia"/>
                <w:u w:val="none"/>
                <w:lang w:val="en-US" w:eastAsia="zh-CN"/>
              </w:rPr>
              <w:t>2</w:t>
            </w:r>
            <w:r>
              <w:rPr>
                <w:u w:val="none"/>
              </w:rPr>
              <w:t>。</w:t>
            </w:r>
          </w:p>
          <w:p w14:paraId="7A273216">
            <w:pPr>
              <w:pStyle w:val="30"/>
              <w:spacing w:before="72" w:after="120"/>
              <w:ind w:firstLine="422"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表3.5-</w:t>
            </w:r>
            <w:r>
              <w:rPr>
                <w:rFonts w:hint="eastAsia" w:cs="Times New Roman"/>
                <w:sz w:val="21"/>
                <w:szCs w:val="21"/>
                <w:highlight w:val="none"/>
                <w:u w:val="none"/>
                <w:lang w:val="en-US" w:eastAsia="zh-CN"/>
              </w:rPr>
              <w:t>2</w:t>
            </w:r>
            <w:r>
              <w:rPr>
                <w:rFonts w:ascii="Times New Roman" w:hAnsi="Times New Roman" w:eastAsia="宋体" w:cs="Times New Roman"/>
                <w:sz w:val="21"/>
                <w:szCs w:val="21"/>
                <w:highlight w:val="none"/>
                <w:u w:val="none"/>
              </w:rPr>
              <w:t>声环境质量现状监测点位情况</w:t>
            </w:r>
          </w:p>
          <w:tbl>
            <w:tblPr>
              <w:tblStyle w:val="19"/>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60"/>
              <w:gridCol w:w="6201"/>
            </w:tblGrid>
            <w:tr w14:paraId="29D2E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28BEA86F">
                  <w:pPr>
                    <w:overflowPunct w:val="0"/>
                    <w:adjustRightInd w:val="0"/>
                    <w:jc w:val="center"/>
                    <w:textAlignment w:val="baseline"/>
                    <w:rPr>
                      <w:b/>
                      <w:bCs/>
                      <w:sz w:val="21"/>
                      <w:szCs w:val="21"/>
                      <w:u w:val="none"/>
                    </w:rPr>
                  </w:pPr>
                  <w:r>
                    <w:rPr>
                      <w:b/>
                      <w:bCs/>
                      <w:sz w:val="21"/>
                      <w:szCs w:val="21"/>
                      <w:u w:val="none"/>
                    </w:rPr>
                    <w:t>编号</w:t>
                  </w:r>
                </w:p>
              </w:tc>
              <w:tc>
                <w:tcPr>
                  <w:tcW w:w="4046" w:type="pct"/>
                  <w:vAlign w:val="center"/>
                </w:tcPr>
                <w:p w14:paraId="76E71BDD">
                  <w:pPr>
                    <w:overflowPunct w:val="0"/>
                    <w:adjustRightInd w:val="0"/>
                    <w:jc w:val="center"/>
                    <w:textAlignment w:val="baseline"/>
                    <w:rPr>
                      <w:b/>
                      <w:bCs/>
                      <w:sz w:val="21"/>
                      <w:szCs w:val="21"/>
                      <w:u w:val="none"/>
                    </w:rPr>
                  </w:pPr>
                  <w:r>
                    <w:rPr>
                      <w:b/>
                      <w:bCs/>
                      <w:sz w:val="21"/>
                      <w:szCs w:val="21"/>
                      <w:u w:val="none"/>
                    </w:rPr>
                    <w:t>相对位置</w:t>
                  </w:r>
                </w:p>
              </w:tc>
            </w:tr>
            <w:tr w14:paraId="341E0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71DD4DF5">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1</w:t>
                  </w:r>
                  <w:r>
                    <w:rPr>
                      <w:rFonts w:hint="eastAsia" w:ascii="Times New Roman" w:hAnsi="Times New Roman" w:eastAsia="宋体" w:cs="Times New Roman"/>
                      <w:sz w:val="21"/>
                      <w:szCs w:val="21"/>
                      <w:u w:val="none"/>
                      <w:lang w:val="en-US" w:eastAsia="zh-CN"/>
                    </w:rPr>
                    <w:t>#</w:t>
                  </w:r>
                </w:p>
              </w:tc>
              <w:tc>
                <w:tcPr>
                  <w:tcW w:w="4046" w:type="pct"/>
                  <w:vAlign w:val="center"/>
                </w:tcPr>
                <w:p w14:paraId="20837CF0">
                  <w:pPr>
                    <w:pStyle w:val="32"/>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变电站西侧围墙外1m</w:t>
                  </w:r>
                  <w:r>
                    <w:rPr>
                      <w:rFonts w:hint="eastAsia"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val="en-US" w:eastAsia="zh-CN"/>
                    </w:rPr>
                    <w:t>高</w:t>
                  </w:r>
                  <w:r>
                    <w:rPr>
                      <w:rFonts w:hint="eastAsia" w:ascii="Times New Roman" w:hAnsi="Times New Roman" w:eastAsia="宋体" w:cs="Times New Roman"/>
                      <w:sz w:val="21"/>
                      <w:szCs w:val="21"/>
                      <w:u w:val="none"/>
                      <w:lang w:eastAsia="zh-CN"/>
                    </w:rPr>
                    <w:t>1.2m</w:t>
                  </w:r>
                  <w:r>
                    <w:rPr>
                      <w:rFonts w:hint="eastAsia" w:ascii="Times New Roman" w:hAnsi="Times New Roman" w:eastAsia="宋体" w:cs="Times New Roman"/>
                      <w:sz w:val="21"/>
                      <w:szCs w:val="21"/>
                      <w:u w:val="none"/>
                      <w:lang w:val="en-US" w:eastAsia="zh-CN"/>
                    </w:rPr>
                    <w:t>处</w:t>
                  </w:r>
                </w:p>
              </w:tc>
            </w:tr>
            <w:tr w14:paraId="38BBB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7B25FE40">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eastAsia="zh-CN"/>
                    </w:rPr>
                    <w:t>2</w:t>
                  </w:r>
                  <w:r>
                    <w:rPr>
                      <w:rFonts w:hint="eastAsia" w:ascii="Times New Roman" w:hAnsi="Times New Roman" w:eastAsia="宋体" w:cs="Times New Roman"/>
                      <w:sz w:val="21"/>
                      <w:szCs w:val="21"/>
                      <w:u w:val="none"/>
                      <w:lang w:val="en-US" w:eastAsia="zh-CN"/>
                    </w:rPr>
                    <w:t>#</w:t>
                  </w:r>
                </w:p>
              </w:tc>
              <w:tc>
                <w:tcPr>
                  <w:tcW w:w="4046" w:type="pct"/>
                  <w:vAlign w:val="center"/>
                </w:tcPr>
                <w:p w14:paraId="60E64BD8">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变电站北侧围墙外1m</w:t>
                  </w:r>
                  <w:r>
                    <w:rPr>
                      <w:rFonts w:hint="eastAsia"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val="en-US" w:eastAsia="zh-CN"/>
                    </w:rPr>
                    <w:t>高</w:t>
                  </w:r>
                  <w:r>
                    <w:rPr>
                      <w:rFonts w:hint="eastAsia" w:ascii="Times New Roman" w:hAnsi="Times New Roman" w:eastAsia="宋体" w:cs="Times New Roman"/>
                      <w:sz w:val="21"/>
                      <w:szCs w:val="21"/>
                      <w:u w:val="none"/>
                      <w:lang w:eastAsia="zh-CN"/>
                    </w:rPr>
                    <w:t>1.2m</w:t>
                  </w:r>
                  <w:r>
                    <w:rPr>
                      <w:rFonts w:hint="eastAsia" w:ascii="Times New Roman" w:hAnsi="Times New Roman" w:eastAsia="宋体" w:cs="Times New Roman"/>
                      <w:sz w:val="21"/>
                      <w:szCs w:val="21"/>
                      <w:u w:val="none"/>
                      <w:lang w:val="en-US" w:eastAsia="zh-CN"/>
                    </w:rPr>
                    <w:t>处</w:t>
                  </w:r>
                </w:p>
              </w:tc>
            </w:tr>
            <w:tr w14:paraId="774BF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3226E43D">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3#</w:t>
                  </w:r>
                </w:p>
              </w:tc>
              <w:tc>
                <w:tcPr>
                  <w:tcW w:w="4046" w:type="pct"/>
                  <w:vAlign w:val="center"/>
                </w:tcPr>
                <w:p w14:paraId="4DD46FDE">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变电站东侧围墙外1m</w:t>
                  </w:r>
                  <w:r>
                    <w:rPr>
                      <w:rFonts w:hint="eastAsia"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val="en-US" w:eastAsia="zh-CN"/>
                    </w:rPr>
                    <w:t>高</w:t>
                  </w:r>
                  <w:r>
                    <w:rPr>
                      <w:rFonts w:hint="eastAsia" w:cs="Times New Roman"/>
                      <w:sz w:val="21"/>
                      <w:szCs w:val="21"/>
                      <w:u w:val="none"/>
                      <w:lang w:val="en-US" w:eastAsia="zh-CN"/>
                    </w:rPr>
                    <w:t>于围墙0.5</w:t>
                  </w:r>
                  <w:r>
                    <w:rPr>
                      <w:rFonts w:hint="eastAsia" w:ascii="Times New Roman" w:hAnsi="Times New Roman" w:eastAsia="宋体" w:cs="Times New Roman"/>
                      <w:sz w:val="21"/>
                      <w:szCs w:val="21"/>
                      <w:u w:val="none"/>
                      <w:lang w:eastAsia="zh-CN"/>
                    </w:rPr>
                    <w:t>m</w:t>
                  </w:r>
                  <w:r>
                    <w:rPr>
                      <w:rFonts w:hint="eastAsia" w:ascii="Times New Roman" w:hAnsi="Times New Roman" w:eastAsia="宋体" w:cs="Times New Roman"/>
                      <w:sz w:val="21"/>
                      <w:szCs w:val="21"/>
                      <w:u w:val="none"/>
                      <w:lang w:val="en-US" w:eastAsia="zh-CN"/>
                    </w:rPr>
                    <w:t>处</w:t>
                  </w:r>
                </w:p>
              </w:tc>
            </w:tr>
            <w:tr w14:paraId="57531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5A0D31E1">
                  <w:pPr>
                    <w:pStyle w:val="32"/>
                    <w:rPr>
                      <w:rFonts w:hint="eastAsia" w:ascii="Times New Roman" w:hAnsi="Times New Roman" w:eastAsia="宋体" w:cs="Times New Roman"/>
                      <w:sz w:val="21"/>
                      <w:szCs w:val="21"/>
                      <w:u w:val="none"/>
                      <w:lang w:eastAsia="zh-CN"/>
                    </w:rPr>
                  </w:pPr>
                  <w:r>
                    <w:rPr>
                      <w:rFonts w:hint="eastAsia" w:cs="Times New Roman"/>
                      <w:sz w:val="21"/>
                      <w:szCs w:val="21"/>
                      <w:u w:val="none"/>
                      <w:lang w:val="en-US" w:eastAsia="zh-CN"/>
                    </w:rPr>
                    <w:t>4</w:t>
                  </w:r>
                  <w:r>
                    <w:rPr>
                      <w:rFonts w:hint="eastAsia" w:ascii="Times New Roman" w:hAnsi="Times New Roman" w:eastAsia="宋体" w:cs="Times New Roman"/>
                      <w:sz w:val="21"/>
                      <w:szCs w:val="21"/>
                      <w:u w:val="none"/>
                      <w:lang w:val="en-US" w:eastAsia="zh-CN"/>
                    </w:rPr>
                    <w:t>#</w:t>
                  </w:r>
                </w:p>
              </w:tc>
              <w:tc>
                <w:tcPr>
                  <w:tcW w:w="4046" w:type="pct"/>
                  <w:vAlign w:val="center"/>
                </w:tcPr>
                <w:p w14:paraId="1A7EBB90">
                  <w:pPr>
                    <w:pStyle w:val="32"/>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变电站南侧（沙场门口）围墙外1m</w:t>
                  </w:r>
                  <w:r>
                    <w:rPr>
                      <w:rFonts w:hint="eastAsia"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val="en-US" w:eastAsia="zh-CN"/>
                    </w:rPr>
                    <w:t>高</w:t>
                  </w:r>
                  <w:r>
                    <w:rPr>
                      <w:rFonts w:hint="eastAsia" w:cs="Times New Roman"/>
                      <w:sz w:val="21"/>
                      <w:szCs w:val="21"/>
                      <w:u w:val="none"/>
                      <w:lang w:val="en-US" w:eastAsia="zh-CN"/>
                    </w:rPr>
                    <w:t>于围墙0.5</w:t>
                  </w:r>
                  <w:r>
                    <w:rPr>
                      <w:rFonts w:hint="eastAsia" w:ascii="Times New Roman" w:hAnsi="Times New Roman" w:eastAsia="宋体" w:cs="Times New Roman"/>
                      <w:sz w:val="21"/>
                      <w:szCs w:val="21"/>
                      <w:u w:val="none"/>
                      <w:lang w:eastAsia="zh-CN"/>
                    </w:rPr>
                    <w:t>m</w:t>
                  </w:r>
                  <w:r>
                    <w:rPr>
                      <w:rFonts w:hint="eastAsia" w:ascii="Times New Roman" w:hAnsi="Times New Roman" w:eastAsia="宋体" w:cs="Times New Roman"/>
                      <w:sz w:val="21"/>
                      <w:szCs w:val="21"/>
                      <w:u w:val="none"/>
                      <w:lang w:val="en-US" w:eastAsia="zh-CN"/>
                    </w:rPr>
                    <w:t>处</w:t>
                  </w:r>
                </w:p>
              </w:tc>
            </w:tr>
            <w:tr w14:paraId="3B3A8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53" w:type="pct"/>
                  <w:vAlign w:val="center"/>
                </w:tcPr>
                <w:p w14:paraId="59316CEF">
                  <w:pPr>
                    <w:pStyle w:val="32"/>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5#</w:t>
                  </w:r>
                </w:p>
              </w:tc>
              <w:tc>
                <w:tcPr>
                  <w:tcW w:w="4046" w:type="pct"/>
                  <w:vAlign w:val="center"/>
                </w:tcPr>
                <w:p w14:paraId="3FAAB665">
                  <w:pPr>
                    <w:pStyle w:val="32"/>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广西诚达工程质量检测公司办公楼门口（变电站东南侧</w:t>
                  </w:r>
                  <w:r>
                    <w:rPr>
                      <w:rFonts w:hint="eastAsia" w:cs="Times New Roman"/>
                      <w:sz w:val="21"/>
                      <w:szCs w:val="21"/>
                      <w:u w:val="none"/>
                      <w:lang w:val="en-US" w:eastAsia="zh-CN"/>
                    </w:rPr>
                    <w:t>135</w:t>
                  </w:r>
                  <w:r>
                    <w:rPr>
                      <w:rFonts w:hint="eastAsia" w:ascii="Times New Roman" w:hAnsi="Times New Roman" w:eastAsia="宋体" w:cs="Times New Roman"/>
                      <w:sz w:val="21"/>
                      <w:szCs w:val="21"/>
                      <w:u w:val="none"/>
                      <w:lang w:val="en-US" w:eastAsia="zh-CN"/>
                    </w:rPr>
                    <w:t>m）</w:t>
                  </w:r>
                </w:p>
              </w:tc>
            </w:tr>
          </w:tbl>
          <w:p w14:paraId="3C824636">
            <w:pPr>
              <w:pStyle w:val="30"/>
              <w:spacing w:before="72" w:after="120"/>
              <w:rPr>
                <w:sz w:val="24"/>
                <w:u w:val="none"/>
              </w:rPr>
            </w:pPr>
          </w:p>
          <w:p w14:paraId="719FB9C2">
            <w:pPr>
              <w:keepNext/>
              <w:adjustRightInd w:val="0"/>
              <w:snapToGrid w:val="0"/>
              <w:rPr>
                <w:bCs/>
                <w:u w:val="none"/>
              </w:rPr>
            </w:pPr>
            <w:r>
              <w:rPr>
                <w:bCs/>
                <w:u w:val="none"/>
              </w:rPr>
              <w:t>3.5.2监测时间及条件</w:t>
            </w:r>
          </w:p>
          <w:p w14:paraId="07FE7B77">
            <w:pPr>
              <w:adjustRightInd w:val="0"/>
              <w:snapToGrid w:val="0"/>
              <w:ind w:firstLine="480"/>
              <w:rPr>
                <w:rFonts w:ascii="Times New Roman" w:hAnsi="Times New Roman" w:eastAsia="宋体" w:cs="Times New Roman"/>
                <w:u w:val="none"/>
              </w:rPr>
            </w:pPr>
            <w:r>
              <w:rPr>
                <w:rFonts w:ascii="Times New Roman" w:hAnsi="Times New Roman" w:eastAsia="宋体" w:cs="Times New Roman"/>
                <w:u w:val="none"/>
              </w:rPr>
              <w:t>监测时间：</w:t>
            </w:r>
            <w:r>
              <w:rPr>
                <w:rFonts w:hint="eastAsia" w:ascii="Times New Roman" w:hAnsi="Times New Roman" w:eastAsia="宋体" w:cs="Times New Roman"/>
                <w:u w:val="none"/>
              </w:rPr>
              <w:t>广西壮族自治区辐射环境监督管理站</w:t>
            </w:r>
            <w:r>
              <w:rPr>
                <w:rFonts w:ascii="Times New Roman" w:hAnsi="Times New Roman" w:eastAsia="宋体" w:cs="Times New Roman"/>
                <w:u w:val="none"/>
              </w:rPr>
              <w:t>于</w:t>
            </w:r>
            <w:r>
              <w:rPr>
                <w:rFonts w:hint="eastAsia" w:ascii="Times New Roman" w:hAnsi="Times New Roman" w:eastAsia="宋体" w:cs="Times New Roman"/>
                <w:u w:val="none"/>
              </w:rPr>
              <w:t>2025年5月19日</w:t>
            </w:r>
            <w:r>
              <w:rPr>
                <w:rFonts w:ascii="Times New Roman" w:hAnsi="Times New Roman" w:eastAsia="宋体" w:cs="Times New Roman"/>
                <w:u w:val="none"/>
              </w:rPr>
              <w:t>对</w:t>
            </w:r>
            <w:r>
              <w:rPr>
                <w:rFonts w:hint="eastAsia" w:ascii="Times New Roman" w:hAnsi="Times New Roman" w:eastAsia="宋体" w:cs="Times New Roman"/>
                <w:u w:val="none"/>
              </w:rPr>
              <w:t>220kV</w:t>
            </w:r>
            <w:r>
              <w:rPr>
                <w:rFonts w:hint="eastAsia" w:ascii="Times New Roman" w:hAnsi="Times New Roman" w:eastAsia="宋体" w:cs="Times New Roman"/>
                <w:u w:val="none"/>
                <w:lang w:val="en-US" w:eastAsia="zh-CN"/>
              </w:rPr>
              <w:t>果山</w:t>
            </w:r>
            <w:r>
              <w:rPr>
                <w:rFonts w:ascii="Times New Roman" w:hAnsi="Times New Roman" w:eastAsia="宋体" w:cs="Times New Roman"/>
                <w:u w:val="none"/>
              </w:rPr>
              <w:t>变电站进行了监测；</w:t>
            </w:r>
          </w:p>
          <w:p w14:paraId="647C1067">
            <w:pPr>
              <w:adjustRightInd w:val="0"/>
              <w:snapToGrid w:val="0"/>
              <w:ind w:firstLine="480"/>
              <w:rPr>
                <w:rFonts w:ascii="Times New Roman" w:hAnsi="Times New Roman" w:eastAsia="宋体" w:cs="Times New Roman"/>
                <w:u w:val="none"/>
              </w:rPr>
            </w:pPr>
            <w:r>
              <w:rPr>
                <w:rFonts w:ascii="Times New Roman" w:hAnsi="Times New Roman" w:eastAsia="宋体" w:cs="Times New Roman"/>
                <w:u w:val="none"/>
              </w:rPr>
              <w:t>监测条件：监测气象条件见表3.5-</w:t>
            </w:r>
            <w:r>
              <w:rPr>
                <w:rFonts w:hint="eastAsia" w:cs="Times New Roman"/>
                <w:u w:val="none"/>
                <w:lang w:val="en-US" w:eastAsia="zh-CN"/>
              </w:rPr>
              <w:t>3</w:t>
            </w:r>
            <w:r>
              <w:rPr>
                <w:rFonts w:ascii="Times New Roman" w:hAnsi="Times New Roman" w:eastAsia="宋体" w:cs="Times New Roman"/>
                <w:u w:val="none"/>
              </w:rPr>
              <w:t>。</w:t>
            </w:r>
          </w:p>
          <w:p w14:paraId="4A34573F">
            <w:pPr>
              <w:pStyle w:val="9"/>
              <w:rPr>
                <w:rFonts w:ascii="Times New Roman" w:hAnsi="Times New Roman" w:eastAsia="宋体" w:cs="Times New Roman"/>
                <w:u w:val="none"/>
              </w:rPr>
            </w:pPr>
          </w:p>
          <w:p w14:paraId="6CBF65EE">
            <w:pPr>
              <w:pStyle w:val="30"/>
              <w:spacing w:before="72" w:after="120"/>
              <w:ind w:firstLine="422" w:firstLineChars="200"/>
              <w:rPr>
                <w:rFonts w:ascii="Times New Roman" w:hAnsi="Times New Roman" w:eastAsia="宋体" w:cs="Times New Roman"/>
                <w:sz w:val="21"/>
                <w:szCs w:val="21"/>
                <w:highlight w:val="none"/>
                <w:u w:val="none"/>
                <w:lang w:val="zh-CN"/>
              </w:rPr>
            </w:pPr>
            <w:r>
              <w:rPr>
                <w:rFonts w:ascii="Times New Roman" w:hAnsi="Times New Roman" w:eastAsia="宋体" w:cs="Times New Roman"/>
                <w:sz w:val="21"/>
                <w:szCs w:val="21"/>
                <w:highlight w:val="none"/>
                <w:u w:val="none"/>
                <w:lang w:val="zh-CN"/>
              </w:rPr>
              <w:t>表</w:t>
            </w:r>
            <w:r>
              <w:rPr>
                <w:rFonts w:ascii="Times New Roman" w:hAnsi="Times New Roman" w:eastAsia="宋体" w:cs="Times New Roman"/>
                <w:sz w:val="21"/>
                <w:szCs w:val="21"/>
                <w:highlight w:val="none"/>
                <w:u w:val="none"/>
              </w:rPr>
              <w:t>3.5-</w:t>
            </w:r>
            <w:r>
              <w:rPr>
                <w:rFonts w:hint="eastAsia" w:cs="Times New Roman"/>
                <w:sz w:val="21"/>
                <w:szCs w:val="21"/>
                <w:highlight w:val="none"/>
                <w:u w:val="none"/>
                <w:lang w:val="en-US" w:eastAsia="zh-CN"/>
              </w:rPr>
              <w:t>3</w:t>
            </w:r>
            <w:r>
              <w:rPr>
                <w:rFonts w:ascii="Times New Roman" w:hAnsi="Times New Roman" w:eastAsia="宋体" w:cs="Times New Roman"/>
                <w:sz w:val="21"/>
                <w:szCs w:val="21"/>
                <w:highlight w:val="none"/>
                <w:u w:val="none"/>
                <w:lang w:val="zh-CN"/>
              </w:rPr>
              <w:t>监测时间气象条件</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938"/>
              <w:gridCol w:w="1617"/>
              <w:gridCol w:w="1483"/>
              <w:gridCol w:w="851"/>
              <w:gridCol w:w="1263"/>
            </w:tblGrid>
            <w:tr w14:paraId="685F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7" w:type="dxa"/>
                  <w:vAlign w:val="center"/>
                </w:tcPr>
                <w:p w14:paraId="50B20E9D">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监测时间</w:t>
                  </w:r>
                </w:p>
              </w:tc>
              <w:tc>
                <w:tcPr>
                  <w:tcW w:w="1337" w:type="dxa"/>
                  <w:vAlign w:val="center"/>
                </w:tcPr>
                <w:p w14:paraId="374A6C57">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天气</w:t>
                  </w:r>
                </w:p>
                <w:p w14:paraId="35CA5A06">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状况</w:t>
                  </w:r>
                </w:p>
              </w:tc>
              <w:tc>
                <w:tcPr>
                  <w:tcW w:w="2049" w:type="dxa"/>
                  <w:vAlign w:val="center"/>
                </w:tcPr>
                <w:p w14:paraId="1E40EECB">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环境温度（℃）</w:t>
                  </w:r>
                </w:p>
              </w:tc>
              <w:tc>
                <w:tcPr>
                  <w:tcW w:w="1810" w:type="dxa"/>
                  <w:vAlign w:val="center"/>
                </w:tcPr>
                <w:p w14:paraId="2B9C4C4B">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相对湿度（%）</w:t>
                  </w:r>
                </w:p>
              </w:tc>
              <w:tc>
                <w:tcPr>
                  <w:tcW w:w="1183" w:type="dxa"/>
                  <w:vAlign w:val="center"/>
                </w:tcPr>
                <w:p w14:paraId="6A3CBE49">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风向</w:t>
                  </w:r>
                </w:p>
              </w:tc>
              <w:tc>
                <w:tcPr>
                  <w:tcW w:w="1504" w:type="dxa"/>
                  <w:vAlign w:val="center"/>
                </w:tcPr>
                <w:p w14:paraId="0CF38C41">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风速（m/s）</w:t>
                  </w:r>
                </w:p>
              </w:tc>
            </w:tr>
            <w:tr w14:paraId="4430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7" w:type="dxa"/>
                  <w:vAlign w:val="center"/>
                </w:tcPr>
                <w:p w14:paraId="2D2BEC32">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2025.5.19昼间</w:t>
                  </w:r>
                </w:p>
              </w:tc>
              <w:tc>
                <w:tcPr>
                  <w:tcW w:w="1337" w:type="dxa"/>
                  <w:vAlign w:val="center"/>
                </w:tcPr>
                <w:p w14:paraId="7CBE7DF5">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阴</w:t>
                  </w:r>
                </w:p>
              </w:tc>
              <w:tc>
                <w:tcPr>
                  <w:tcW w:w="2049" w:type="dxa"/>
                  <w:vAlign w:val="center"/>
                </w:tcPr>
                <w:p w14:paraId="3A21B41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25.4~27</w:t>
                  </w:r>
                  <w:r>
                    <w:rPr>
                      <w:rFonts w:hint="default" w:ascii="Times New Roman" w:hAnsi="Times New Roman" w:eastAsia="宋体" w:cs="Times New Roman"/>
                      <w:u w:val="none"/>
                      <w:lang w:val="en-US" w:eastAsia="zh-CN"/>
                    </w:rPr>
                    <w:t>.</w:t>
                  </w:r>
                  <w:r>
                    <w:rPr>
                      <w:rFonts w:hint="eastAsia" w:ascii="Times New Roman" w:hAnsi="Times New Roman" w:eastAsia="宋体" w:cs="Times New Roman"/>
                      <w:u w:val="none"/>
                      <w:lang w:val="en-US" w:eastAsia="zh-CN"/>
                    </w:rPr>
                    <w:t>8</w:t>
                  </w:r>
                </w:p>
              </w:tc>
              <w:tc>
                <w:tcPr>
                  <w:tcW w:w="1810" w:type="dxa"/>
                  <w:vAlign w:val="center"/>
                </w:tcPr>
                <w:p w14:paraId="7158609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65.3</w:t>
                  </w:r>
                  <w:r>
                    <w:rPr>
                      <w:rFonts w:hint="default" w:ascii="Times New Roman" w:hAnsi="Times New Roman" w:eastAsia="宋体" w:cs="Times New Roman"/>
                      <w:u w:val="none"/>
                      <w:lang w:val="en-US" w:eastAsia="zh-CN"/>
                    </w:rPr>
                    <w:t>~</w:t>
                  </w:r>
                  <w:r>
                    <w:rPr>
                      <w:rFonts w:hint="eastAsia" w:ascii="Times New Roman" w:hAnsi="Times New Roman" w:eastAsia="宋体" w:cs="Times New Roman"/>
                      <w:u w:val="none"/>
                      <w:lang w:val="en-US" w:eastAsia="zh-CN"/>
                    </w:rPr>
                    <w:t>67.7</w:t>
                  </w:r>
                </w:p>
              </w:tc>
              <w:tc>
                <w:tcPr>
                  <w:tcW w:w="1183" w:type="dxa"/>
                  <w:vAlign w:val="center"/>
                </w:tcPr>
                <w:p w14:paraId="35F360B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西</w:t>
                  </w:r>
                </w:p>
              </w:tc>
              <w:tc>
                <w:tcPr>
                  <w:tcW w:w="1504" w:type="dxa"/>
                  <w:vAlign w:val="center"/>
                </w:tcPr>
                <w:p w14:paraId="223FD0CA">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0.5~1.0</w:t>
                  </w:r>
                </w:p>
              </w:tc>
            </w:tr>
            <w:tr w14:paraId="4EA7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7" w:type="dxa"/>
                  <w:vAlign w:val="center"/>
                </w:tcPr>
                <w:p w14:paraId="4AB258E0">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2025.5.19夜间</w:t>
                  </w:r>
                </w:p>
              </w:tc>
              <w:tc>
                <w:tcPr>
                  <w:tcW w:w="1337" w:type="dxa"/>
                  <w:vAlign w:val="center"/>
                </w:tcPr>
                <w:p w14:paraId="06D34B37">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阴</w:t>
                  </w:r>
                </w:p>
              </w:tc>
              <w:tc>
                <w:tcPr>
                  <w:tcW w:w="2049" w:type="dxa"/>
                  <w:vAlign w:val="center"/>
                </w:tcPr>
                <w:p w14:paraId="665FD87D">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22.1~24.9</w:t>
                  </w:r>
                </w:p>
              </w:tc>
              <w:tc>
                <w:tcPr>
                  <w:tcW w:w="1810" w:type="dxa"/>
                  <w:vAlign w:val="center"/>
                </w:tcPr>
                <w:p w14:paraId="768BE450">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64.2~70.5</w:t>
                  </w:r>
                </w:p>
              </w:tc>
              <w:tc>
                <w:tcPr>
                  <w:tcW w:w="1183" w:type="dxa"/>
                  <w:vAlign w:val="center"/>
                </w:tcPr>
                <w:p w14:paraId="7DAE9A6A">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西</w:t>
                  </w:r>
                </w:p>
              </w:tc>
              <w:tc>
                <w:tcPr>
                  <w:tcW w:w="1504" w:type="dxa"/>
                  <w:vAlign w:val="center"/>
                </w:tcPr>
                <w:p w14:paraId="233BB2B7">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0.5~0.8</w:t>
                  </w:r>
                </w:p>
              </w:tc>
            </w:tr>
          </w:tbl>
          <w:p w14:paraId="7F4A1B68">
            <w:pPr>
              <w:pStyle w:val="13"/>
              <w:ind w:firstLine="360"/>
              <w:rPr>
                <w:kern w:val="2"/>
                <w:sz w:val="24"/>
                <w:szCs w:val="24"/>
                <w:highlight w:val="yellow"/>
                <w:u w:val="none"/>
              </w:rPr>
            </w:pPr>
          </w:p>
          <w:p w14:paraId="330A60E6">
            <w:pPr>
              <w:adjustRightInd w:val="0"/>
              <w:snapToGrid w:val="0"/>
              <w:rPr>
                <w:bCs/>
                <w:highlight w:val="none"/>
                <w:u w:val="none"/>
              </w:rPr>
            </w:pPr>
            <w:r>
              <w:rPr>
                <w:bCs/>
                <w:highlight w:val="none"/>
                <w:u w:val="none"/>
              </w:rPr>
              <w:t>3.5.3监测方法</w:t>
            </w:r>
          </w:p>
          <w:p w14:paraId="2EA97340">
            <w:pPr>
              <w:adjustRightInd w:val="0"/>
              <w:snapToGrid w:val="0"/>
              <w:ind w:firstLine="480" w:firstLineChars="200"/>
              <w:rPr>
                <w:highlight w:val="none"/>
                <w:u w:val="none"/>
              </w:rPr>
            </w:pPr>
            <w:r>
              <w:rPr>
                <w:highlight w:val="none"/>
                <w:u w:val="none"/>
              </w:rPr>
              <w:t>按《声环境质量标准》（GB3096</w:t>
            </w:r>
            <w:r>
              <w:rPr>
                <w:rFonts w:hint="eastAsia"/>
                <w:highlight w:val="none"/>
                <w:u w:val="none"/>
              </w:rPr>
              <w:t>-</w:t>
            </w:r>
            <w:r>
              <w:rPr>
                <w:highlight w:val="none"/>
                <w:u w:val="none"/>
              </w:rPr>
              <w:t>2008）和《工业企业厂界环境噪声排放标准》（GB12348</w:t>
            </w:r>
            <w:r>
              <w:rPr>
                <w:rFonts w:hint="eastAsia"/>
                <w:highlight w:val="none"/>
                <w:u w:val="none"/>
              </w:rPr>
              <w:t>-</w:t>
            </w:r>
            <w:r>
              <w:rPr>
                <w:highlight w:val="none"/>
                <w:u w:val="none"/>
              </w:rPr>
              <w:t>2008）中的监测方法进行。</w:t>
            </w:r>
          </w:p>
          <w:p w14:paraId="1EB030F6">
            <w:pPr>
              <w:adjustRightInd w:val="0"/>
              <w:snapToGrid w:val="0"/>
              <w:rPr>
                <w:bCs/>
                <w:highlight w:val="none"/>
                <w:u w:val="none"/>
              </w:rPr>
            </w:pPr>
            <w:r>
              <w:rPr>
                <w:bCs/>
                <w:highlight w:val="none"/>
                <w:u w:val="none"/>
              </w:rPr>
              <w:t>3.5.4监测仪器</w:t>
            </w:r>
          </w:p>
          <w:p w14:paraId="4F069AEB">
            <w:pPr>
              <w:adjustRightInd w:val="0"/>
              <w:snapToGrid w:val="0"/>
              <w:ind w:firstLine="480" w:firstLineChars="200"/>
              <w:rPr>
                <w:rFonts w:hint="eastAsia"/>
                <w:bCs/>
                <w:highlight w:val="none"/>
                <w:u w:val="none"/>
                <w:lang w:val="en-US" w:eastAsia="zh-CN"/>
              </w:rPr>
            </w:pPr>
            <w:r>
              <w:rPr>
                <w:rFonts w:hint="eastAsia"/>
                <w:bCs/>
                <w:highlight w:val="none"/>
                <w:u w:val="none"/>
                <w:lang w:val="en-US" w:eastAsia="zh-CN"/>
              </w:rPr>
              <w:t>本工程监测仪器详情见下表：</w:t>
            </w:r>
          </w:p>
          <w:p w14:paraId="74A1B64B">
            <w:pPr>
              <w:pStyle w:val="30"/>
              <w:spacing w:before="72" w:after="120"/>
              <w:ind w:firstLine="422" w:firstLineChars="200"/>
              <w:rPr>
                <w:sz w:val="21"/>
                <w:szCs w:val="21"/>
                <w:highlight w:val="none"/>
                <w:u w:val="none"/>
              </w:rPr>
            </w:pPr>
            <w:r>
              <w:rPr>
                <w:sz w:val="21"/>
                <w:szCs w:val="21"/>
                <w:highlight w:val="none"/>
                <w:u w:val="none"/>
              </w:rPr>
              <w:t>表3.5-</w:t>
            </w:r>
            <w:r>
              <w:rPr>
                <w:rFonts w:hint="eastAsia"/>
                <w:sz w:val="21"/>
                <w:szCs w:val="21"/>
                <w:highlight w:val="none"/>
                <w:u w:val="none"/>
                <w:lang w:val="en-US" w:eastAsia="zh-CN"/>
              </w:rPr>
              <w:t>4</w:t>
            </w:r>
            <w:r>
              <w:rPr>
                <w:rFonts w:hint="eastAsia"/>
                <w:sz w:val="21"/>
                <w:szCs w:val="21"/>
                <w:highlight w:val="none"/>
                <w:u w:val="none"/>
              </w:rPr>
              <w:t>声环境监测项目、监测仪器</w:t>
            </w:r>
          </w:p>
          <w:tbl>
            <w:tblPr>
              <w:tblStyle w:val="19"/>
              <w:tblW w:w="5000"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57" w:type="dxa"/>
                <w:right w:w="108" w:type="dxa"/>
              </w:tblCellMar>
            </w:tblPr>
            <w:tblGrid>
              <w:gridCol w:w="1220"/>
              <w:gridCol w:w="3101"/>
              <w:gridCol w:w="3337"/>
            </w:tblGrid>
            <w:tr w14:paraId="7143A44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tcBorders>
                    <w:top w:val="single" w:color="auto" w:sz="4" w:space="0"/>
                  </w:tcBorders>
                  <w:vAlign w:val="center"/>
                </w:tcPr>
                <w:p w14:paraId="32E47649">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监测项目</w:t>
                  </w:r>
                </w:p>
              </w:tc>
              <w:tc>
                <w:tcPr>
                  <w:tcW w:w="4202" w:type="pct"/>
                  <w:gridSpan w:val="2"/>
                  <w:tcBorders>
                    <w:top w:val="single" w:color="auto" w:sz="4" w:space="0"/>
                  </w:tcBorders>
                  <w:vAlign w:val="center"/>
                </w:tcPr>
                <w:p w14:paraId="5A382584">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环境噪声、厂界环境噪声</w:t>
                  </w:r>
                </w:p>
              </w:tc>
            </w:tr>
            <w:tr w14:paraId="10103C8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tcBorders>
                    <w:top w:val="single" w:color="auto" w:sz="4" w:space="0"/>
                  </w:tcBorders>
                  <w:vAlign w:val="center"/>
                </w:tcPr>
                <w:p w14:paraId="0B4EC025">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仪器名称</w:t>
                  </w:r>
                </w:p>
              </w:tc>
              <w:tc>
                <w:tcPr>
                  <w:tcW w:w="2024" w:type="pct"/>
                  <w:tcBorders>
                    <w:top w:val="single" w:color="auto" w:sz="4" w:space="0"/>
                  </w:tcBorders>
                  <w:vAlign w:val="center"/>
                </w:tcPr>
                <w:p w14:paraId="6F0844D4">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精密声级计</w:t>
                  </w:r>
                </w:p>
              </w:tc>
              <w:tc>
                <w:tcPr>
                  <w:tcW w:w="2178" w:type="pct"/>
                  <w:tcBorders>
                    <w:top w:val="single" w:color="auto" w:sz="4" w:space="0"/>
                  </w:tcBorders>
                  <w:vAlign w:val="center"/>
                </w:tcPr>
                <w:p w14:paraId="5BBA6E35">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声校准器</w:t>
                  </w:r>
                </w:p>
              </w:tc>
            </w:tr>
            <w:tr w14:paraId="53B806D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tcBorders>
                    <w:top w:val="single" w:color="auto" w:sz="4" w:space="0"/>
                  </w:tcBorders>
                  <w:vAlign w:val="center"/>
                </w:tcPr>
                <w:p w14:paraId="098BF20B">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仪器型号</w:t>
                  </w:r>
                </w:p>
              </w:tc>
              <w:tc>
                <w:tcPr>
                  <w:tcW w:w="2024" w:type="pct"/>
                  <w:tcBorders>
                    <w:top w:val="single" w:color="auto" w:sz="4" w:space="0"/>
                  </w:tcBorders>
                  <w:vAlign w:val="center"/>
                </w:tcPr>
                <w:p w14:paraId="0AB92BCA">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NL-62</w:t>
                  </w:r>
                </w:p>
              </w:tc>
              <w:tc>
                <w:tcPr>
                  <w:tcW w:w="2178" w:type="pct"/>
                  <w:tcBorders>
                    <w:top w:val="single" w:color="auto" w:sz="4" w:space="0"/>
                  </w:tcBorders>
                  <w:vAlign w:val="center"/>
                </w:tcPr>
                <w:p w14:paraId="478E918D">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AWA6021A</w:t>
                  </w:r>
                </w:p>
              </w:tc>
            </w:tr>
            <w:tr w14:paraId="7DCC010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vAlign w:val="center"/>
                </w:tcPr>
                <w:p w14:paraId="40AF9582">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出厂编号</w:t>
                  </w:r>
                </w:p>
              </w:tc>
              <w:tc>
                <w:tcPr>
                  <w:tcW w:w="2024" w:type="pct"/>
                  <w:vAlign w:val="center"/>
                </w:tcPr>
                <w:p w14:paraId="71835FB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00201620</w:t>
                  </w:r>
                </w:p>
              </w:tc>
              <w:tc>
                <w:tcPr>
                  <w:tcW w:w="2178" w:type="pct"/>
                  <w:vAlign w:val="center"/>
                </w:tcPr>
                <w:p w14:paraId="14D2887A">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1009680</w:t>
                  </w:r>
                </w:p>
              </w:tc>
            </w:tr>
            <w:tr w14:paraId="0B598EA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vAlign w:val="center"/>
                </w:tcPr>
                <w:p w14:paraId="06CC8C9C">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量  程</w:t>
                  </w:r>
                </w:p>
              </w:tc>
              <w:tc>
                <w:tcPr>
                  <w:tcW w:w="2024" w:type="pct"/>
                  <w:vAlign w:val="center"/>
                </w:tcPr>
                <w:p w14:paraId="6C3F3E47">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25dB~138dB</w:t>
                  </w:r>
                </w:p>
              </w:tc>
              <w:tc>
                <w:tcPr>
                  <w:tcW w:w="2178" w:type="pct"/>
                  <w:vAlign w:val="center"/>
                </w:tcPr>
                <w:p w14:paraId="1866F318">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114dB/94dB</w:t>
                  </w:r>
                </w:p>
              </w:tc>
            </w:tr>
            <w:tr w14:paraId="033751A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vAlign w:val="center"/>
                </w:tcPr>
                <w:p w14:paraId="33FACE3F">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生产厂家</w:t>
                  </w:r>
                </w:p>
              </w:tc>
              <w:tc>
                <w:tcPr>
                  <w:tcW w:w="2024" w:type="pct"/>
                  <w:vAlign w:val="center"/>
                </w:tcPr>
                <w:p w14:paraId="3DD51AB2">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日本理音(RION)公司</w:t>
                  </w:r>
                </w:p>
              </w:tc>
              <w:tc>
                <w:tcPr>
                  <w:tcW w:w="2178" w:type="pct"/>
                  <w:vAlign w:val="center"/>
                </w:tcPr>
                <w:p w14:paraId="1E5E6177">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杭州爱华仪器有限公司</w:t>
                  </w:r>
                </w:p>
              </w:tc>
            </w:tr>
            <w:tr w14:paraId="1C594EA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57" w:type="dxa"/>
                  <w:right w:w="108" w:type="dxa"/>
                </w:tblCellMar>
              </w:tblPrEx>
              <w:trPr>
                <w:trHeight w:val="340" w:hRule="atLeast"/>
              </w:trPr>
              <w:tc>
                <w:tcPr>
                  <w:tcW w:w="797" w:type="pct"/>
                  <w:vAlign w:val="center"/>
                </w:tcPr>
                <w:p w14:paraId="2B389380">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检定单位</w:t>
                  </w:r>
                </w:p>
                <w:p w14:paraId="1E96E792">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证书编号</w:t>
                  </w:r>
                </w:p>
                <w:p w14:paraId="5851D069">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有效期</w:t>
                  </w:r>
                </w:p>
              </w:tc>
              <w:tc>
                <w:tcPr>
                  <w:tcW w:w="2024" w:type="pct"/>
                  <w:vAlign w:val="center"/>
                </w:tcPr>
                <w:p w14:paraId="2B0AA082">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广西壮族自治区计量检测研究院</w:t>
                  </w:r>
                </w:p>
                <w:p w14:paraId="5491F101">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电声字第240400330号</w:t>
                  </w:r>
                </w:p>
                <w:p w14:paraId="38FB05CE">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2024年7月12日</w:t>
                  </w:r>
                  <w:r>
                    <w:rPr>
                      <w:rFonts w:hint="eastAsia" w:cs="Times New Roman"/>
                      <w:u w:val="none"/>
                      <w:lang w:val="en-US" w:eastAsia="zh-CN"/>
                    </w:rPr>
                    <w:t>—</w:t>
                  </w:r>
                  <w:r>
                    <w:rPr>
                      <w:rFonts w:hint="eastAsia" w:ascii="Times New Roman" w:hAnsi="Times New Roman" w:eastAsia="宋体" w:cs="Times New Roman"/>
                      <w:u w:val="none"/>
                      <w:lang w:val="en-US" w:eastAsia="zh-CN"/>
                    </w:rPr>
                    <w:t>2025年7月11日</w:t>
                  </w:r>
                </w:p>
              </w:tc>
              <w:tc>
                <w:tcPr>
                  <w:tcW w:w="2178" w:type="pct"/>
                  <w:vAlign w:val="center"/>
                </w:tcPr>
                <w:p w14:paraId="634878F9">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广西壮族自治区计量检测研究院</w:t>
                  </w:r>
                </w:p>
                <w:p w14:paraId="54A86934">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电声字第250400419号</w:t>
                  </w:r>
                </w:p>
                <w:p w14:paraId="665757A0">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2025年3月10日</w:t>
                  </w:r>
                  <w:r>
                    <w:rPr>
                      <w:rFonts w:hint="eastAsia" w:cs="Times New Roman"/>
                      <w:u w:val="none"/>
                      <w:lang w:val="en-US" w:eastAsia="zh-CN"/>
                    </w:rPr>
                    <w:t>—</w:t>
                  </w:r>
                  <w:r>
                    <w:rPr>
                      <w:rFonts w:hint="eastAsia" w:ascii="Times New Roman" w:hAnsi="Times New Roman" w:eastAsia="宋体" w:cs="Times New Roman"/>
                      <w:u w:val="none"/>
                      <w:lang w:val="en-US" w:eastAsia="zh-CN"/>
                    </w:rPr>
                    <w:t>2026年3月9日</w:t>
                  </w:r>
                </w:p>
              </w:tc>
            </w:tr>
          </w:tbl>
          <w:p w14:paraId="60770D00">
            <w:pPr>
              <w:adjustRightInd w:val="0"/>
              <w:snapToGrid w:val="0"/>
              <w:ind w:firstLine="480" w:firstLineChars="200"/>
              <w:rPr>
                <w:rFonts w:hint="default"/>
                <w:bCs/>
                <w:highlight w:val="yellow"/>
                <w:u w:val="none"/>
                <w:lang w:val="en-US" w:eastAsia="zh-CN"/>
              </w:rPr>
            </w:pPr>
          </w:p>
          <w:p w14:paraId="5B27DE31">
            <w:pPr>
              <w:adjustRightInd w:val="0"/>
              <w:snapToGrid w:val="0"/>
              <w:rPr>
                <w:bCs/>
                <w:highlight w:val="none"/>
                <w:u w:val="none"/>
              </w:rPr>
            </w:pPr>
            <w:r>
              <w:rPr>
                <w:bCs/>
                <w:highlight w:val="none"/>
                <w:u w:val="none"/>
              </w:rPr>
              <w:t>3.5.5监测结果</w:t>
            </w:r>
          </w:p>
          <w:p w14:paraId="41B40474">
            <w:pPr>
              <w:keepNext/>
              <w:adjustRightInd w:val="0"/>
              <w:snapToGrid w:val="0"/>
              <w:ind w:firstLine="480" w:firstLineChars="200"/>
              <w:rPr>
                <w:highlight w:val="none"/>
                <w:u w:val="none"/>
              </w:rPr>
            </w:pPr>
            <w:r>
              <w:rPr>
                <w:highlight w:val="none"/>
                <w:u w:val="none"/>
              </w:rPr>
              <w:t>本项目声环境质量现状监测结果详见</w:t>
            </w:r>
            <w:r>
              <w:rPr>
                <w:highlight w:val="none"/>
                <w:u w:val="none"/>
              </w:rPr>
              <w:fldChar w:fldCharType="begin"/>
            </w:r>
            <w:r>
              <w:rPr>
                <w:highlight w:val="none"/>
                <w:u w:val="none"/>
              </w:rPr>
              <w:instrText xml:space="preserve"> REF _Ref17820258 \h  \* MERGEFORMAT </w:instrText>
            </w:r>
            <w:r>
              <w:rPr>
                <w:highlight w:val="none"/>
                <w:u w:val="none"/>
              </w:rPr>
              <w:fldChar w:fldCharType="separate"/>
            </w:r>
            <w:r>
              <w:rPr>
                <w:highlight w:val="none"/>
                <w:u w:val="none"/>
              </w:rPr>
              <w:t>表</w:t>
            </w:r>
            <w:r>
              <w:rPr>
                <w:highlight w:val="none"/>
                <w:u w:val="none"/>
              </w:rPr>
              <w:fldChar w:fldCharType="end"/>
            </w:r>
            <w:r>
              <w:rPr>
                <w:highlight w:val="none"/>
                <w:u w:val="none"/>
              </w:rPr>
              <w:t>3.5-</w:t>
            </w:r>
            <w:r>
              <w:rPr>
                <w:rFonts w:hint="eastAsia"/>
                <w:highlight w:val="none"/>
                <w:u w:val="none"/>
                <w:lang w:val="en-US" w:eastAsia="zh-CN"/>
              </w:rPr>
              <w:t>5</w:t>
            </w:r>
            <w:r>
              <w:rPr>
                <w:highlight w:val="none"/>
                <w:u w:val="none"/>
              </w:rPr>
              <w:t>。</w:t>
            </w:r>
          </w:p>
          <w:p w14:paraId="10335134">
            <w:pPr>
              <w:pStyle w:val="30"/>
              <w:spacing w:before="72" w:after="120"/>
              <w:ind w:firstLine="422" w:firstLineChars="200"/>
              <w:rPr>
                <w:sz w:val="21"/>
                <w:szCs w:val="21"/>
                <w:highlight w:val="none"/>
                <w:u w:val="none"/>
              </w:rPr>
            </w:pPr>
            <w:r>
              <w:rPr>
                <w:sz w:val="21"/>
                <w:szCs w:val="21"/>
                <w:highlight w:val="none"/>
                <w:u w:val="none"/>
              </w:rPr>
              <w:t>表3.5-</w:t>
            </w:r>
            <w:r>
              <w:rPr>
                <w:rFonts w:hint="eastAsia"/>
                <w:sz w:val="21"/>
                <w:szCs w:val="21"/>
                <w:highlight w:val="none"/>
                <w:u w:val="none"/>
                <w:lang w:val="en-US" w:eastAsia="zh-CN"/>
              </w:rPr>
              <w:t>5</w:t>
            </w:r>
            <w:r>
              <w:rPr>
                <w:sz w:val="21"/>
                <w:szCs w:val="21"/>
                <w:highlight w:val="none"/>
                <w:u w:val="none"/>
              </w:rPr>
              <w:t>本项目周围声环境质量监测结果（单位dB(A)）</w:t>
            </w:r>
          </w:p>
          <w:tbl>
            <w:tblPr>
              <w:tblStyle w:val="19"/>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594"/>
              <w:gridCol w:w="1912"/>
              <w:gridCol w:w="1912"/>
            </w:tblGrid>
            <w:tr w14:paraId="6983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02" w:type="pct"/>
                  <w:vMerge w:val="restart"/>
                  <w:vAlign w:val="center"/>
                </w:tcPr>
                <w:p w14:paraId="24248AB8">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点位</w:t>
                  </w:r>
                </w:p>
              </w:tc>
              <w:tc>
                <w:tcPr>
                  <w:tcW w:w="1696" w:type="pct"/>
                  <w:vMerge w:val="restart"/>
                  <w:vAlign w:val="center"/>
                </w:tcPr>
                <w:p w14:paraId="7D76CBF9">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点位名称</w:t>
                  </w:r>
                </w:p>
              </w:tc>
              <w:tc>
                <w:tcPr>
                  <w:tcW w:w="1250" w:type="pct"/>
                  <w:vAlign w:val="center"/>
                </w:tcPr>
                <w:p w14:paraId="4BEF82BA">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昼  间（dB（A））</w:t>
                  </w:r>
                </w:p>
              </w:tc>
              <w:tc>
                <w:tcPr>
                  <w:tcW w:w="1250" w:type="pct"/>
                  <w:vAlign w:val="center"/>
                </w:tcPr>
                <w:p w14:paraId="1D0DDA6F">
                  <w:pPr>
                    <w:pStyle w:val="32"/>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夜  间（dB（A））</w:t>
                  </w:r>
                </w:p>
              </w:tc>
            </w:tr>
            <w:tr w14:paraId="0032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02" w:type="pct"/>
                  <w:vMerge w:val="continue"/>
                  <w:vAlign w:val="center"/>
                </w:tcPr>
                <w:p w14:paraId="40CCC43B">
                  <w:pPr>
                    <w:pStyle w:val="32"/>
                    <w:rPr>
                      <w:rFonts w:hint="eastAsia" w:ascii="Times New Roman" w:hAnsi="Times New Roman" w:eastAsia="宋体" w:cs="Times New Roman"/>
                      <w:b/>
                      <w:bCs/>
                      <w:u w:val="none"/>
                      <w:lang w:val="en-US" w:eastAsia="zh-CN"/>
                    </w:rPr>
                  </w:pPr>
                </w:p>
              </w:tc>
              <w:tc>
                <w:tcPr>
                  <w:tcW w:w="1696" w:type="pct"/>
                  <w:vMerge w:val="continue"/>
                  <w:vAlign w:val="center"/>
                </w:tcPr>
                <w:p w14:paraId="0A57065E">
                  <w:pPr>
                    <w:pStyle w:val="32"/>
                    <w:rPr>
                      <w:rFonts w:hint="eastAsia" w:ascii="Times New Roman" w:hAnsi="Times New Roman" w:eastAsia="宋体" w:cs="Times New Roman"/>
                      <w:b/>
                      <w:bCs/>
                      <w:u w:val="none"/>
                      <w:lang w:val="en-US" w:eastAsia="zh-CN"/>
                    </w:rPr>
                  </w:pPr>
                </w:p>
              </w:tc>
              <w:tc>
                <w:tcPr>
                  <w:tcW w:w="1250" w:type="pct"/>
                  <w:vAlign w:val="center"/>
                </w:tcPr>
                <w:p w14:paraId="459AE0B9">
                  <w:pPr>
                    <w:pStyle w:val="32"/>
                    <w:rPr>
                      <w:rFonts w:hint="eastAsia" w:ascii="Times New Roman" w:hAnsi="Times New Roman" w:eastAsia="宋体" w:cs="Times New Roman"/>
                      <w:b/>
                      <w:bCs/>
                      <w:u w:val="none"/>
                      <w:lang w:val="en-US" w:eastAsia="zh-CN"/>
                    </w:rPr>
                  </w:pPr>
                  <m:oMathPara>
                    <m:oMath>
                      <m:sSub>
                        <m:sSubPr>
                          <m:ctrlPr>
                            <w:rPr>
                              <w:rFonts w:hint="eastAsia" w:ascii="Cambria Math" w:hAnsi="Cambria Math" w:eastAsia="宋体" w:cs="Times New Roman"/>
                              <w:b/>
                              <w:bCs/>
                              <w:u w:val="none"/>
                              <w:lang w:val="en-US" w:eastAsia="zh-CN"/>
                            </w:rPr>
                          </m:ctrlPr>
                        </m:sSubPr>
                        <m:e>
                          <m:r>
                            <m:rPr>
                              <m:sty m:val="b"/>
                            </m:rPr>
                            <w:rPr>
                              <w:rFonts w:hint="default" w:ascii="Cambria Math" w:hAnsi="Cambria Math" w:eastAsia="宋体" w:cs="Times New Roman"/>
                              <w:u w:val="none"/>
                              <w:lang w:val="en-US" w:eastAsia="zh-CN"/>
                            </w:rPr>
                            <m:t>L</m:t>
                          </m:r>
                          <m:ctrlPr>
                            <w:rPr>
                              <w:rFonts w:hint="eastAsia" w:ascii="Cambria Math" w:hAnsi="Cambria Math" w:eastAsia="宋体" w:cs="Times New Roman"/>
                              <w:b/>
                              <w:bCs/>
                              <w:u w:val="none"/>
                              <w:lang w:val="en-US" w:eastAsia="zh-CN"/>
                            </w:rPr>
                          </m:ctrlPr>
                        </m:e>
                        <m:sub>
                          <m:r>
                            <m:rPr>
                              <m:sty m:val="b"/>
                            </m:rPr>
                            <w:rPr>
                              <w:rFonts w:hint="default" w:ascii="Cambria Math" w:hAnsi="Cambria Math" w:eastAsia="宋体" w:cs="Times New Roman"/>
                              <w:u w:val="none"/>
                              <w:lang w:val="en-US" w:eastAsia="zh-CN"/>
                            </w:rPr>
                            <m:t>eq</m:t>
                          </m:r>
                          <m:ctrlPr>
                            <w:rPr>
                              <w:rFonts w:hint="eastAsia" w:ascii="Cambria Math" w:hAnsi="Cambria Math" w:eastAsia="宋体" w:cs="Times New Roman"/>
                              <w:b/>
                              <w:bCs/>
                              <w:u w:val="none"/>
                              <w:lang w:val="en-US" w:eastAsia="zh-CN"/>
                            </w:rPr>
                          </m:ctrlPr>
                        </m:sub>
                      </m:sSub>
                    </m:oMath>
                  </m:oMathPara>
                </w:p>
              </w:tc>
              <w:tc>
                <w:tcPr>
                  <w:tcW w:w="1250" w:type="pct"/>
                  <w:vAlign w:val="center"/>
                </w:tcPr>
                <w:p w14:paraId="11692924">
                  <w:pPr>
                    <w:pStyle w:val="32"/>
                    <w:rPr>
                      <w:rFonts w:hint="eastAsia" w:ascii="Times New Roman" w:hAnsi="Times New Roman" w:eastAsia="宋体" w:cs="Times New Roman"/>
                      <w:b/>
                      <w:bCs/>
                      <w:u w:val="none"/>
                      <w:lang w:val="en-US" w:eastAsia="zh-CN"/>
                    </w:rPr>
                  </w:pPr>
                  <m:oMathPara>
                    <m:oMath>
                      <m:sSub>
                        <m:sSubPr>
                          <m:ctrlPr>
                            <w:rPr>
                              <w:rFonts w:hint="eastAsia" w:ascii="Cambria Math" w:hAnsi="Cambria Math" w:eastAsia="宋体" w:cs="Times New Roman"/>
                              <w:b/>
                              <w:bCs/>
                              <w:u w:val="none"/>
                              <w:lang w:val="en-US" w:eastAsia="zh-CN"/>
                            </w:rPr>
                          </m:ctrlPr>
                        </m:sSubPr>
                        <m:e>
                          <m:r>
                            <m:rPr>
                              <m:sty m:val="b"/>
                            </m:rPr>
                            <w:rPr>
                              <w:rFonts w:hint="default" w:ascii="Cambria Math" w:hAnsi="Cambria Math" w:eastAsia="宋体" w:cs="Times New Roman"/>
                              <w:u w:val="none"/>
                              <w:lang w:val="en-US" w:eastAsia="zh-CN"/>
                            </w:rPr>
                            <m:t>L</m:t>
                          </m:r>
                          <m:ctrlPr>
                            <w:rPr>
                              <w:rFonts w:hint="eastAsia" w:ascii="Cambria Math" w:hAnsi="Cambria Math" w:eastAsia="宋体" w:cs="Times New Roman"/>
                              <w:b/>
                              <w:bCs/>
                              <w:u w:val="none"/>
                              <w:lang w:val="en-US" w:eastAsia="zh-CN"/>
                            </w:rPr>
                          </m:ctrlPr>
                        </m:e>
                        <m:sub>
                          <m:r>
                            <m:rPr>
                              <m:sty m:val="b"/>
                            </m:rPr>
                            <w:rPr>
                              <w:rFonts w:hint="default" w:ascii="Cambria Math" w:hAnsi="Cambria Math" w:eastAsia="宋体" w:cs="Times New Roman"/>
                              <w:u w:val="none"/>
                              <w:lang w:val="en-US" w:eastAsia="zh-CN"/>
                            </w:rPr>
                            <m:t>eq</m:t>
                          </m:r>
                          <m:ctrlPr>
                            <w:rPr>
                              <w:rFonts w:hint="eastAsia" w:ascii="Cambria Math" w:hAnsi="Cambria Math" w:eastAsia="宋体" w:cs="Times New Roman"/>
                              <w:b/>
                              <w:bCs/>
                              <w:u w:val="none"/>
                              <w:lang w:val="en-US" w:eastAsia="zh-CN"/>
                            </w:rPr>
                          </m:ctrlPr>
                        </m:sub>
                      </m:sSub>
                    </m:oMath>
                  </m:oMathPara>
                </w:p>
              </w:tc>
            </w:tr>
            <w:tr w14:paraId="2D68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2" w:type="pct"/>
                  <w:shd w:val="clear" w:color="auto" w:fill="auto"/>
                  <w:vAlign w:val="center"/>
                </w:tcPr>
                <w:p w14:paraId="3354C17B">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1#</w:t>
                  </w:r>
                </w:p>
              </w:tc>
              <w:tc>
                <w:tcPr>
                  <w:tcW w:w="1696" w:type="pct"/>
                  <w:tcBorders>
                    <w:right w:val="single" w:color="auto" w:sz="4" w:space="0"/>
                  </w:tcBorders>
                  <w:shd w:val="clear" w:color="auto" w:fill="auto"/>
                  <w:vAlign w:val="center"/>
                </w:tcPr>
                <w:p w14:paraId="6580B913">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变电站西侧</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64D5F8F">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46</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07206976">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43</w:t>
                  </w:r>
                </w:p>
              </w:tc>
            </w:tr>
            <w:tr w14:paraId="1EE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2" w:type="pct"/>
                  <w:shd w:val="clear" w:color="auto" w:fill="auto"/>
                  <w:vAlign w:val="center"/>
                </w:tcPr>
                <w:p w14:paraId="349AD774">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w:t>
                  </w:r>
                </w:p>
              </w:tc>
              <w:tc>
                <w:tcPr>
                  <w:tcW w:w="1696" w:type="pct"/>
                  <w:tcBorders>
                    <w:right w:val="single" w:color="auto" w:sz="4" w:space="0"/>
                  </w:tcBorders>
                  <w:shd w:val="clear" w:color="auto" w:fill="auto"/>
                  <w:vAlign w:val="center"/>
                </w:tcPr>
                <w:p w14:paraId="24A78CC1">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变电站北侧</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42745D2">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42</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77C920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41</w:t>
                  </w:r>
                </w:p>
              </w:tc>
            </w:tr>
            <w:tr w14:paraId="7F2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2" w:type="pct"/>
                  <w:shd w:val="clear" w:color="auto" w:fill="auto"/>
                  <w:vAlign w:val="center"/>
                </w:tcPr>
                <w:p w14:paraId="79EA85FE">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3#</w:t>
                  </w:r>
                </w:p>
              </w:tc>
              <w:tc>
                <w:tcPr>
                  <w:tcW w:w="1696" w:type="pct"/>
                  <w:tcBorders>
                    <w:right w:val="single" w:color="auto" w:sz="4" w:space="0"/>
                  </w:tcBorders>
                  <w:shd w:val="clear" w:color="auto" w:fill="auto"/>
                  <w:vAlign w:val="center"/>
                </w:tcPr>
                <w:p w14:paraId="263B7F31">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变电站东侧</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C2B1935">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44</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86D201F">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42</w:t>
                  </w:r>
                </w:p>
              </w:tc>
            </w:tr>
            <w:tr w14:paraId="27C2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2" w:type="pct"/>
                  <w:shd w:val="clear" w:color="auto" w:fill="auto"/>
                  <w:vAlign w:val="center"/>
                </w:tcPr>
                <w:p w14:paraId="2675F178">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w:t>
                  </w:r>
                </w:p>
              </w:tc>
              <w:tc>
                <w:tcPr>
                  <w:tcW w:w="1696" w:type="pct"/>
                  <w:tcBorders>
                    <w:right w:val="single" w:color="auto" w:sz="4" w:space="0"/>
                  </w:tcBorders>
                  <w:shd w:val="clear" w:color="auto" w:fill="auto"/>
                  <w:vAlign w:val="center"/>
                </w:tcPr>
                <w:p w14:paraId="62F154CB">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变电站南侧（沙场门口）</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0A32643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41</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F32AF93">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39</w:t>
                  </w:r>
                </w:p>
              </w:tc>
            </w:tr>
            <w:tr w14:paraId="237B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2" w:type="pct"/>
                  <w:shd w:val="clear" w:color="auto" w:fill="auto"/>
                  <w:vAlign w:val="center"/>
                </w:tcPr>
                <w:p w14:paraId="54A09889">
                  <w:pPr>
                    <w:pStyle w:val="32"/>
                    <w:rPr>
                      <w:rFonts w:hint="eastAsia" w:ascii="Times New Roman" w:hAnsi="Times New Roman" w:eastAsia="宋体" w:cs="Times New Roman"/>
                      <w:u w:val="none"/>
                      <w:lang w:val="en-US" w:eastAsia="zh-CN"/>
                    </w:rPr>
                  </w:pPr>
                  <w:r>
                    <w:rPr>
                      <w:rFonts w:hint="eastAsia" w:cs="Times New Roman"/>
                      <w:u w:val="none"/>
                      <w:lang w:val="en-US" w:eastAsia="zh-CN"/>
                    </w:rPr>
                    <w:t>5</w:t>
                  </w:r>
                  <w:r>
                    <w:rPr>
                      <w:rFonts w:hint="eastAsia" w:ascii="Times New Roman" w:hAnsi="Times New Roman" w:eastAsia="宋体" w:cs="Times New Roman"/>
                      <w:u w:val="none"/>
                      <w:lang w:val="en-US" w:eastAsia="zh-CN"/>
                    </w:rPr>
                    <w:t>#</w:t>
                  </w:r>
                </w:p>
              </w:tc>
              <w:tc>
                <w:tcPr>
                  <w:tcW w:w="1696" w:type="pct"/>
                  <w:tcBorders>
                    <w:right w:val="single" w:color="auto" w:sz="4" w:space="0"/>
                  </w:tcBorders>
                  <w:shd w:val="clear" w:color="auto" w:fill="auto"/>
                  <w:vAlign w:val="center"/>
                </w:tcPr>
                <w:p w14:paraId="092950DB">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广西诚达工程质量检测公司办公楼门口</w:t>
                  </w:r>
                  <w:r>
                    <w:rPr>
                      <w:rFonts w:hint="eastAsia"/>
                      <w:lang w:eastAsia="zh-CN"/>
                    </w:rPr>
                    <w:t>（</w:t>
                  </w:r>
                  <w:r>
                    <w:rPr>
                      <w:rFonts w:hint="eastAsia"/>
                      <w:lang w:val="en-US" w:eastAsia="zh-CN"/>
                    </w:rPr>
                    <w:t>3层，无法到达</w:t>
                  </w:r>
                  <w:r>
                    <w:rPr>
                      <w:rFonts w:hint="eastAsia"/>
                      <w:lang w:eastAsia="zh-CN"/>
                    </w:rPr>
                    <w:t>）</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86725A8">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42</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3F8E876">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38</w:t>
                  </w:r>
                </w:p>
              </w:tc>
            </w:tr>
          </w:tbl>
          <w:p w14:paraId="124BA8C7">
            <w:pPr>
              <w:ind w:firstLine="480" w:firstLineChars="200"/>
              <w:rPr>
                <w:rFonts w:hint="eastAsia" w:eastAsia="宋体"/>
                <w:u w:val="none"/>
                <w:lang w:val="en-US" w:eastAsia="zh-CN"/>
              </w:rPr>
            </w:pPr>
            <w:r>
              <w:rPr>
                <w:highlight w:val="none"/>
                <w:u w:val="none"/>
              </w:rPr>
              <w:t>由</w:t>
            </w:r>
            <w:r>
              <w:rPr>
                <w:highlight w:val="none"/>
                <w:u w:val="none"/>
              </w:rPr>
              <w:fldChar w:fldCharType="begin"/>
            </w:r>
            <w:r>
              <w:rPr>
                <w:highlight w:val="none"/>
                <w:u w:val="none"/>
              </w:rPr>
              <w:instrText xml:space="preserve"> REF _Ref17820258 \h  \* MERGEFORMAT </w:instrText>
            </w:r>
            <w:r>
              <w:rPr>
                <w:highlight w:val="none"/>
                <w:u w:val="none"/>
              </w:rPr>
              <w:fldChar w:fldCharType="separate"/>
            </w:r>
            <w:r>
              <w:rPr>
                <w:highlight w:val="none"/>
                <w:u w:val="none"/>
              </w:rPr>
              <w:t>表</w:t>
            </w:r>
            <w:r>
              <w:rPr>
                <w:highlight w:val="none"/>
                <w:u w:val="none"/>
              </w:rPr>
              <w:fldChar w:fldCharType="end"/>
            </w:r>
            <w:r>
              <w:rPr>
                <w:highlight w:val="none"/>
                <w:u w:val="none"/>
              </w:rPr>
              <w:t>3.5-</w:t>
            </w:r>
            <w:r>
              <w:rPr>
                <w:rFonts w:hint="eastAsia"/>
                <w:highlight w:val="none"/>
                <w:u w:val="none"/>
                <w:lang w:val="en-US" w:eastAsia="zh-CN"/>
              </w:rPr>
              <w:t>5</w:t>
            </w:r>
            <w:r>
              <w:rPr>
                <w:highlight w:val="none"/>
                <w:u w:val="none"/>
              </w:rPr>
              <w:t>的监测结果可知，</w:t>
            </w:r>
            <w:r>
              <w:rPr>
                <w:rFonts w:hint="eastAsia"/>
                <w:highlight w:val="none"/>
                <w:u w:val="none"/>
              </w:rPr>
              <w:t>22</w:t>
            </w:r>
            <w:r>
              <w:rPr>
                <w:highlight w:val="none"/>
                <w:u w:val="none"/>
              </w:rPr>
              <w:t>0kV</w:t>
            </w:r>
            <w:r>
              <w:rPr>
                <w:rFonts w:hint="eastAsia"/>
                <w:highlight w:val="none"/>
                <w:u w:val="none"/>
                <w:lang w:val="en-US" w:eastAsia="zh-CN"/>
              </w:rPr>
              <w:t>果山</w:t>
            </w:r>
            <w:r>
              <w:rPr>
                <w:highlight w:val="none"/>
                <w:u w:val="none"/>
              </w:rPr>
              <w:t>变电站</w:t>
            </w:r>
            <w:r>
              <w:rPr>
                <w:rFonts w:hint="eastAsia"/>
                <w:highlight w:val="none"/>
                <w:u w:val="none"/>
              </w:rPr>
              <w:t>厂界</w:t>
            </w:r>
            <w:r>
              <w:rPr>
                <w:highlight w:val="none"/>
                <w:u w:val="none"/>
              </w:rPr>
              <w:t>昼间噪声监测值为</w:t>
            </w:r>
            <w:r>
              <w:rPr>
                <w:rFonts w:hint="eastAsia"/>
                <w:highlight w:val="none"/>
                <w:u w:val="none"/>
                <w:lang w:val="en-US" w:eastAsia="zh-CN"/>
              </w:rPr>
              <w:t>41</w:t>
            </w:r>
            <w:r>
              <w:rPr>
                <w:highlight w:val="none"/>
                <w:u w:val="none"/>
              </w:rPr>
              <w:t>～</w:t>
            </w:r>
            <w:r>
              <w:rPr>
                <w:rFonts w:hint="eastAsia"/>
                <w:highlight w:val="none"/>
                <w:u w:val="none"/>
                <w:lang w:val="en-US" w:eastAsia="zh-CN"/>
              </w:rPr>
              <w:t>46</w:t>
            </w:r>
            <w:r>
              <w:rPr>
                <w:highlight w:val="none"/>
                <w:u w:val="none"/>
              </w:rPr>
              <w:t>dB（A），夜间为</w:t>
            </w:r>
            <w:r>
              <w:rPr>
                <w:rFonts w:hint="eastAsia"/>
                <w:highlight w:val="none"/>
                <w:u w:val="none"/>
                <w:lang w:val="en-US" w:eastAsia="zh-CN"/>
              </w:rPr>
              <w:t>39</w:t>
            </w:r>
            <w:r>
              <w:rPr>
                <w:highlight w:val="none"/>
                <w:u w:val="none"/>
              </w:rPr>
              <w:t>～</w:t>
            </w:r>
            <w:r>
              <w:rPr>
                <w:rFonts w:hint="eastAsia"/>
                <w:highlight w:val="none"/>
                <w:u w:val="none"/>
                <w:lang w:val="en-US" w:eastAsia="zh-CN"/>
              </w:rPr>
              <w:t>43</w:t>
            </w:r>
            <w:r>
              <w:rPr>
                <w:highlight w:val="none"/>
                <w:u w:val="none"/>
              </w:rPr>
              <w:t>dB（A）之间，满足《工业企业厂界环境噪声排放标准》（GB12348－2008）中的</w:t>
            </w:r>
            <w:r>
              <w:rPr>
                <w:rFonts w:hint="eastAsia"/>
                <w:highlight w:val="none"/>
                <w:u w:val="none"/>
                <w:lang w:val="en-US" w:eastAsia="zh-CN"/>
              </w:rPr>
              <w:t>3</w:t>
            </w:r>
            <w:r>
              <w:rPr>
                <w:highlight w:val="none"/>
                <w:u w:val="none"/>
              </w:rPr>
              <w:t>类标准要求。</w:t>
            </w:r>
            <w:r>
              <w:rPr>
                <w:rFonts w:hint="eastAsia"/>
                <w:highlight w:val="none"/>
                <w:u w:val="none"/>
                <w:lang w:val="en-US" w:eastAsia="zh-CN"/>
              </w:rPr>
              <w:t>本工程声环境保护目标</w:t>
            </w:r>
            <w:r>
              <w:rPr>
                <w:highlight w:val="none"/>
                <w:u w:val="none"/>
              </w:rPr>
              <w:t>昼间噪声监测值为</w:t>
            </w:r>
            <w:r>
              <w:rPr>
                <w:rFonts w:hint="eastAsia"/>
                <w:highlight w:val="none"/>
                <w:u w:val="none"/>
                <w:lang w:val="en-US" w:eastAsia="zh-CN"/>
              </w:rPr>
              <w:t>42</w:t>
            </w:r>
            <w:r>
              <w:rPr>
                <w:highlight w:val="none"/>
                <w:u w:val="none"/>
              </w:rPr>
              <w:t>dB（A），夜间为</w:t>
            </w:r>
            <w:r>
              <w:rPr>
                <w:rFonts w:hint="eastAsia"/>
                <w:highlight w:val="none"/>
                <w:u w:val="none"/>
                <w:lang w:val="en-US" w:eastAsia="zh-CN"/>
              </w:rPr>
              <w:t>38</w:t>
            </w:r>
            <w:r>
              <w:rPr>
                <w:highlight w:val="none"/>
                <w:u w:val="none"/>
              </w:rPr>
              <w:t>dB（A）</w:t>
            </w:r>
            <w:r>
              <w:rPr>
                <w:rFonts w:hint="eastAsia"/>
                <w:highlight w:val="none"/>
                <w:u w:val="none"/>
                <w:lang w:eastAsia="zh-CN"/>
              </w:rPr>
              <w:t>，</w:t>
            </w:r>
            <w:r>
              <w:rPr>
                <w:rFonts w:hint="eastAsia"/>
                <w:highlight w:val="none"/>
                <w:u w:val="none"/>
                <w:lang w:val="en-US" w:eastAsia="zh-CN"/>
              </w:rPr>
              <w:t>满足</w:t>
            </w:r>
            <w:r>
              <w:rPr>
                <w:rFonts w:hint="eastAsia"/>
                <w:highlight w:val="none"/>
                <w:u w:val="none"/>
              </w:rPr>
              <w:t>《声环境质量标准》（GB3096－2008）中的</w:t>
            </w:r>
            <w:r>
              <w:rPr>
                <w:rFonts w:hint="eastAsia"/>
                <w:highlight w:val="none"/>
                <w:u w:val="none"/>
                <w:lang w:val="en-US" w:eastAsia="zh-CN"/>
              </w:rPr>
              <w:t>3</w:t>
            </w:r>
            <w:r>
              <w:rPr>
                <w:rFonts w:hint="eastAsia"/>
                <w:highlight w:val="none"/>
                <w:u w:val="none"/>
              </w:rPr>
              <w:t>类标准要求</w:t>
            </w:r>
            <w:r>
              <w:rPr>
                <w:rFonts w:hint="eastAsia"/>
                <w:highlight w:val="none"/>
                <w:u w:val="none"/>
                <w:lang w:eastAsia="zh-CN"/>
              </w:rPr>
              <w:t>。</w:t>
            </w:r>
          </w:p>
        </w:tc>
      </w:tr>
      <w:tr w14:paraId="01021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9" w:type="dxa"/>
            <w:vAlign w:val="center"/>
          </w:tcPr>
          <w:p w14:paraId="67727CA1">
            <w:pPr>
              <w:adjustRightInd w:val="0"/>
              <w:snapToGrid w:val="0"/>
              <w:jc w:val="center"/>
              <w:rPr>
                <w:kern w:val="0"/>
                <w:u w:val="none"/>
              </w:rPr>
            </w:pPr>
            <w:r>
              <w:rPr>
                <w:bCs/>
                <w:u w:val="none"/>
              </w:rPr>
              <w:t>与项目有关的原有环境污染和生态破坏问题</w:t>
            </w:r>
          </w:p>
        </w:tc>
        <w:tc>
          <w:tcPr>
            <w:tcW w:w="8478" w:type="dxa"/>
            <w:vAlign w:val="center"/>
          </w:tcPr>
          <w:p w14:paraId="2DF69BEF">
            <w:pPr>
              <w:adjustRightInd w:val="0"/>
              <w:snapToGrid w:val="0"/>
              <w:rPr>
                <w:b/>
                <w:bCs/>
                <w:u w:val="none"/>
              </w:rPr>
            </w:pPr>
            <w:r>
              <w:rPr>
                <w:b/>
                <w:bCs/>
                <w:u w:val="none"/>
              </w:rPr>
              <w:t>3.6与本项目有关的原有污染情况</w:t>
            </w:r>
            <w:r>
              <w:rPr>
                <w:rFonts w:hint="eastAsia"/>
                <w:b/>
                <w:bCs/>
                <w:u w:val="none"/>
              </w:rPr>
              <w:t>验收报告</w:t>
            </w:r>
          </w:p>
          <w:p w14:paraId="4774818B">
            <w:pPr>
              <w:keepNext w:val="0"/>
              <w:keepLines w:val="0"/>
              <w:widowControl/>
              <w:suppressLineNumbers w:val="0"/>
              <w:ind w:firstLine="480" w:firstLineChars="200"/>
              <w:jc w:val="both"/>
              <w:rPr>
                <w:rFonts w:hint="eastAsia"/>
                <w:highlight w:val="none"/>
                <w:u w:val="none"/>
                <w:lang w:val="en-US" w:eastAsia="zh-CN"/>
              </w:rPr>
            </w:pPr>
            <w:r>
              <w:rPr>
                <w:rFonts w:hint="eastAsia"/>
                <w:highlight w:val="none"/>
                <w:u w:val="none"/>
              </w:rPr>
              <w:t>220</w:t>
            </w:r>
            <w:r>
              <w:rPr>
                <w:highlight w:val="none"/>
                <w:u w:val="none"/>
              </w:rPr>
              <w:t>kV</w:t>
            </w:r>
            <w:r>
              <w:rPr>
                <w:rFonts w:hint="eastAsia"/>
                <w:highlight w:val="none"/>
                <w:u w:val="none"/>
                <w:lang w:val="en-US" w:eastAsia="zh-CN"/>
              </w:rPr>
              <w:t>果山</w:t>
            </w:r>
            <w:r>
              <w:rPr>
                <w:highlight w:val="none"/>
                <w:u w:val="none"/>
              </w:rPr>
              <w:t>变电站</w:t>
            </w:r>
            <w:r>
              <w:rPr>
                <w:rFonts w:hint="eastAsia"/>
                <w:highlight w:val="none"/>
                <w:u w:val="none"/>
              </w:rPr>
              <w:t>一期工程于</w:t>
            </w:r>
            <w:r>
              <w:rPr>
                <w:rFonts w:hint="eastAsia"/>
                <w:highlight w:val="none"/>
                <w:u w:val="none"/>
                <w:lang w:val="en-US" w:eastAsia="zh-CN"/>
              </w:rPr>
              <w:t>2009年11月取得了原柳州市阳和工业新区规划建设环保局《关于广西电网公司220kV社湾变电工程建设项目环境影响报告表的批复》（阳管规字〔2009〕48号）</w:t>
            </w:r>
            <w:r>
              <w:rPr>
                <w:rFonts w:hint="eastAsia"/>
                <w:highlight w:val="none"/>
                <w:u w:val="none"/>
                <w:lang w:eastAsia="zh-CN"/>
              </w:rPr>
              <w:t>。</w:t>
            </w:r>
            <w:r>
              <w:rPr>
                <w:rFonts w:hint="eastAsia"/>
                <w:highlight w:val="none"/>
                <w:u w:val="none"/>
                <w:lang w:val="en-US" w:eastAsia="zh-CN"/>
              </w:rPr>
              <w:t>2013年11月，柳州市环境保护局下发了《</w:t>
            </w:r>
            <w:r>
              <w:rPr>
                <w:rFonts w:hint="eastAsia"/>
                <w:highlight w:val="none"/>
                <w:u w:val="none"/>
              </w:rPr>
              <w:t>关于广西电网公司220kV果山(社湾)送变电工程竣工环境保护验收申请的批复</w:t>
            </w:r>
            <w:r>
              <w:rPr>
                <w:rFonts w:hint="eastAsia"/>
                <w:highlight w:val="none"/>
                <w:u w:val="none"/>
                <w:lang w:val="en-US" w:eastAsia="zh-CN"/>
              </w:rPr>
              <w:t>》（</w:t>
            </w:r>
            <w:r>
              <w:rPr>
                <w:rFonts w:hint="eastAsia"/>
                <w:highlight w:val="none"/>
                <w:u w:val="none"/>
              </w:rPr>
              <w:t>柳环验字</w:t>
            </w:r>
            <w:r>
              <w:rPr>
                <w:rFonts w:hint="eastAsia"/>
                <w:highlight w:val="none"/>
                <w:u w:val="none"/>
                <w:lang w:eastAsia="zh-CN"/>
              </w:rPr>
              <w:t>〔2013〕97号</w:t>
            </w:r>
            <w:r>
              <w:rPr>
                <w:rFonts w:hint="eastAsia"/>
                <w:highlight w:val="none"/>
                <w:u w:val="none"/>
                <w:lang w:val="en-US" w:eastAsia="zh-CN"/>
              </w:rPr>
              <w:t>）。</w:t>
            </w:r>
          </w:p>
          <w:p w14:paraId="51E55A2B">
            <w:pPr>
              <w:keepNext w:val="0"/>
              <w:keepLines w:val="0"/>
              <w:widowControl/>
              <w:suppressLineNumbers w:val="0"/>
              <w:ind w:firstLine="480" w:firstLineChars="200"/>
              <w:jc w:val="both"/>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2018年11月19日，广西电网有限责任公司电网建设分公司在柳州市主持召开500kV柳南变电站220kV配套送出工程竣工环境保护验收会，会议同意该项目通过竣工环境保护验收。500kV柳南变电站220kV配套送出工程建设内容包含柳南~果山I、Ⅱ220kV线路工程，新建线路路径长22.061</w:t>
            </w:r>
            <w:r>
              <w:rPr>
                <w:rFonts w:hint="eastAsia" w:ascii="Times New Roman" w:hAnsi="Times New Roman" w:cs="Times New Roman"/>
                <w:highlight w:val="none"/>
                <w:u w:val="none"/>
                <w:lang w:val="en-US" w:eastAsia="zh-CN"/>
              </w:rPr>
              <w:t xml:space="preserve"> </w:t>
            </w:r>
            <w:r>
              <w:rPr>
                <w:rFonts w:hint="default" w:ascii="Times New Roman" w:hAnsi="Times New Roman" w:cs="Times New Roman"/>
                <w:highlight w:val="none"/>
                <w:u w:val="none"/>
                <w:lang w:val="en-US" w:eastAsia="zh-CN"/>
              </w:rPr>
              <w:t>km</w:t>
            </w:r>
            <w:r>
              <w:rPr>
                <w:rFonts w:hint="eastAsia" w:ascii="Times New Roman" w:hAnsi="Times New Roman" w:cs="Times New Roman"/>
                <w:highlight w:val="none"/>
                <w:u w:val="none"/>
                <w:lang w:val="en-US" w:eastAsia="zh-CN"/>
              </w:rPr>
              <w:t>；500kV柳南变电站扩建2个220kV出线间隔。</w:t>
            </w:r>
          </w:p>
          <w:p w14:paraId="7237FA3B">
            <w:pPr>
              <w:keepNext w:val="0"/>
              <w:keepLines w:val="0"/>
              <w:widowControl/>
              <w:suppressLineNumbers w:val="0"/>
              <w:ind w:firstLine="480" w:firstLineChars="200"/>
              <w:jc w:val="both"/>
              <w:rPr>
                <w:rFonts w:hint="default"/>
                <w:lang w:val="en-US" w:eastAsia="zh-CN"/>
              </w:rPr>
            </w:pPr>
            <w:r>
              <w:rPr>
                <w:rFonts w:hint="default" w:ascii="Times New Roman" w:hAnsi="Times New Roman" w:cs="Times New Roman"/>
                <w:highlight w:val="none"/>
                <w:u w:val="none"/>
                <w:lang w:val="en-US" w:eastAsia="zh-CN"/>
              </w:rPr>
              <w:t>2020年9月广西电网有限责任公司柳州供电局主持召开110kV江口送变电工程竣工环境保护验收议会，会议同意该项目通过竣工环境保护验收。110kV江口送变电工程工程建设内容包含220kV 果山站扩建凉亭 110kV 出线间隔工程，扩建</w:t>
            </w:r>
            <w:r>
              <w:rPr>
                <w:rFonts w:hint="eastAsia" w:ascii="Times New Roman" w:hAnsi="Times New Roman" w:cs="Times New Roman"/>
                <w:highlight w:val="none"/>
                <w:u w:val="none"/>
                <w:lang w:val="en-US" w:eastAsia="zh-CN"/>
              </w:rPr>
              <w:t>1</w:t>
            </w:r>
            <w:r>
              <w:rPr>
                <w:rFonts w:hint="default" w:ascii="Times New Roman" w:hAnsi="Times New Roman" w:cs="Times New Roman"/>
                <w:highlight w:val="none"/>
                <w:u w:val="none"/>
                <w:lang w:val="en-US" w:eastAsia="zh-CN"/>
              </w:rPr>
              <w:t>回 110kV 凉亭</w:t>
            </w:r>
            <w:r>
              <w:rPr>
                <w:rFonts w:hint="eastAsia"/>
                <w:highlight w:val="none"/>
                <w:u w:val="none"/>
                <w:lang w:val="en-US" w:eastAsia="zh-CN"/>
              </w:rPr>
              <w:t>I间隔。且果山站有1回110kV出线接入广西柳州银海铝业股份有限公司为银海铝站供电。</w:t>
            </w:r>
          </w:p>
          <w:p w14:paraId="7CB13834">
            <w:pPr>
              <w:adjustRightInd w:val="0"/>
              <w:snapToGrid w:val="0"/>
              <w:rPr>
                <w:b/>
                <w:bCs/>
                <w:u w:val="none"/>
              </w:rPr>
            </w:pPr>
            <w:r>
              <w:rPr>
                <w:b/>
                <w:bCs/>
                <w:u w:val="none"/>
              </w:rPr>
              <w:t>3.7与本项目有关的原有污染情况及主要环境问题</w:t>
            </w:r>
            <w:r>
              <w:rPr>
                <w:rFonts w:hint="eastAsia"/>
                <w:b/>
                <w:bCs/>
                <w:u w:val="none"/>
              </w:rPr>
              <w:t>验收报告</w:t>
            </w:r>
          </w:p>
          <w:p w14:paraId="74774B51">
            <w:pPr>
              <w:ind w:firstLine="480" w:firstLineChars="200"/>
              <w:rPr>
                <w:u w:val="none"/>
              </w:rPr>
            </w:pPr>
            <w:r>
              <w:rPr>
                <w:rFonts w:hint="eastAsia"/>
                <w:u w:val="none"/>
              </w:rPr>
              <w:t>根据前期</w:t>
            </w:r>
            <w:r>
              <w:rPr>
                <w:u w:val="none"/>
              </w:rPr>
              <w:t>项目竣工环境保护验收</w:t>
            </w:r>
            <w:r>
              <w:rPr>
                <w:rFonts w:hint="eastAsia"/>
                <w:u w:val="none"/>
              </w:rPr>
              <w:t>调查报告及批复意见，结合本次环评现状监测结果。</w:t>
            </w:r>
          </w:p>
          <w:p w14:paraId="21822489">
            <w:pPr>
              <w:ind w:firstLine="480" w:firstLineChars="200"/>
              <w:rPr>
                <w:u w:val="none"/>
              </w:rPr>
            </w:pPr>
            <w:r>
              <w:rPr>
                <w:rFonts w:hint="eastAsia"/>
                <w:u w:val="none"/>
              </w:rPr>
              <w:t>生态环境：施工期采取了相应的水土保持措施和生态保护措施，未发生明显的水土流失和生态破坏；</w:t>
            </w:r>
          </w:p>
          <w:p w14:paraId="383C52B9">
            <w:pPr>
              <w:ind w:firstLine="480" w:firstLineChars="200"/>
              <w:rPr>
                <w:rFonts w:hint="default" w:ascii="Times New Roman" w:hAnsi="Times New Roman" w:cs="Times New Roman"/>
                <w:u w:val="none"/>
              </w:rPr>
            </w:pPr>
            <w:r>
              <w:rPr>
                <w:rFonts w:hint="default" w:ascii="Times New Roman" w:hAnsi="Times New Roman" w:cs="Times New Roman"/>
                <w:u w:val="none"/>
              </w:rPr>
              <w:t>电磁环境：变电站厂界满足《电磁环境控制限值》（GB8702-2014）中规定</w:t>
            </w:r>
            <w:r>
              <w:rPr>
                <w:rFonts w:hint="eastAsia" w:cs="Times New Roman"/>
                <w:u w:val="none"/>
                <w:lang w:eastAsia="zh-CN"/>
              </w:rPr>
              <w:t>的</w:t>
            </w:r>
            <w:r>
              <w:rPr>
                <w:rFonts w:hint="default" w:ascii="Times New Roman" w:hAnsi="Times New Roman" w:cs="Times New Roman"/>
                <w:u w:val="none"/>
              </w:rPr>
              <w:t>4000V/m、100μT的标准要求；</w:t>
            </w:r>
          </w:p>
          <w:p w14:paraId="0CA98CBD">
            <w:pPr>
              <w:ind w:firstLine="480" w:firstLineChars="200"/>
              <w:rPr>
                <w:u w:val="none"/>
              </w:rPr>
            </w:pPr>
            <w:r>
              <w:rPr>
                <w:rFonts w:hint="eastAsia"/>
                <w:u w:val="none"/>
              </w:rPr>
              <w:t>声环境：厂界噪声水平满足《工业企业厂界环境噪声排放标准》（GB12348－2008）中的</w:t>
            </w:r>
            <w:r>
              <w:rPr>
                <w:rFonts w:hint="eastAsia"/>
                <w:u w:val="none"/>
                <w:lang w:val="en-US" w:eastAsia="zh-CN"/>
              </w:rPr>
              <w:t>3</w:t>
            </w:r>
            <w:r>
              <w:rPr>
                <w:rFonts w:hint="eastAsia"/>
                <w:u w:val="none"/>
              </w:rPr>
              <w:t>类标准要求，环境敏感目标噪声水平满足《声环境质量标准》（GB3096－2008）中的</w:t>
            </w:r>
            <w:r>
              <w:rPr>
                <w:rFonts w:hint="eastAsia"/>
                <w:u w:val="none"/>
                <w:lang w:val="en-US" w:eastAsia="zh-CN"/>
              </w:rPr>
              <w:t>3</w:t>
            </w:r>
            <w:r>
              <w:rPr>
                <w:rFonts w:hint="eastAsia"/>
                <w:u w:val="none"/>
              </w:rPr>
              <w:t>类标准要求。</w:t>
            </w:r>
          </w:p>
          <w:p w14:paraId="79C35CDF">
            <w:pPr>
              <w:ind w:firstLine="480" w:firstLineChars="200"/>
              <w:rPr>
                <w:u w:val="none"/>
              </w:rPr>
            </w:pPr>
            <w:r>
              <w:rPr>
                <w:rFonts w:hint="eastAsia"/>
                <w:u w:val="none"/>
              </w:rPr>
              <w:t>水环境：变电站运行过程中产生少量生活污水经化粪池处理后用于站内绿化，不外排，不会对水环境产生影响。</w:t>
            </w:r>
          </w:p>
          <w:p w14:paraId="17610017">
            <w:pPr>
              <w:ind w:firstLine="480" w:firstLineChars="200"/>
              <w:rPr>
                <w:u w:val="none"/>
              </w:rPr>
            </w:pPr>
            <w:r>
              <w:rPr>
                <w:rFonts w:hint="eastAsia"/>
                <w:u w:val="none"/>
              </w:rPr>
              <w:t>危险废物：变电站</w:t>
            </w:r>
            <w:r>
              <w:rPr>
                <w:rFonts w:hint="eastAsia"/>
                <w:u w:val="none"/>
                <w:lang w:val="en-US" w:eastAsia="zh-CN"/>
              </w:rPr>
              <w:t>已</w:t>
            </w:r>
            <w:r>
              <w:rPr>
                <w:rFonts w:hint="eastAsia"/>
                <w:u w:val="none"/>
              </w:rPr>
              <w:t>设有</w:t>
            </w:r>
            <w:r>
              <w:rPr>
                <w:rFonts w:hint="eastAsia"/>
                <w:u w:val="none"/>
                <w:lang w:val="en-US" w:eastAsia="zh-CN"/>
              </w:rPr>
              <w:t>一座65m</w:t>
            </w:r>
            <w:r>
              <w:rPr>
                <w:rFonts w:hint="eastAsia"/>
                <w:u w:val="none"/>
                <w:vertAlign w:val="superscript"/>
                <w:lang w:val="en-US" w:eastAsia="zh-CN"/>
              </w:rPr>
              <w:t>3</w:t>
            </w:r>
            <w:r>
              <w:rPr>
                <w:rFonts w:hint="eastAsia"/>
                <w:u w:val="none"/>
              </w:rPr>
              <w:t>事故油池，满足容纳单台主变最大油量100%的设计规范要求，运行单位已与具有危险废物收集处置资质的单位签订了</w:t>
            </w:r>
            <w:r>
              <w:rPr>
                <w:rFonts w:hint="eastAsia"/>
                <w:u w:val="none"/>
                <w:lang w:val="en-US" w:eastAsia="zh-CN"/>
              </w:rPr>
              <w:t>事故废油</w:t>
            </w:r>
            <w:r>
              <w:rPr>
                <w:rFonts w:hint="eastAsia"/>
                <w:u w:val="none"/>
              </w:rPr>
              <w:t>处置合同。变电站运行期更换产生的废蓄电池，属危险废物，废物类别为HW31，废物代码为900-052-31，应交由有相应危险废物处理资质的单位进行处置，不得随意丢弃。</w:t>
            </w:r>
          </w:p>
          <w:p w14:paraId="0624A53F">
            <w:pPr>
              <w:ind w:firstLine="480" w:firstLineChars="200"/>
              <w:rPr>
                <w:u w:val="none"/>
              </w:rPr>
            </w:pPr>
            <w:r>
              <w:rPr>
                <w:rFonts w:hint="eastAsia"/>
                <w:u w:val="none"/>
                <w:lang w:val="en-US" w:eastAsia="zh-CN"/>
              </w:rPr>
              <w:t>一般</w:t>
            </w:r>
            <w:r>
              <w:rPr>
                <w:rFonts w:hint="eastAsia"/>
                <w:u w:val="none"/>
              </w:rPr>
              <w:t>固体废物：变电站运行期间产生的少量生活垃圾由市政相关部门统一回收处理。</w:t>
            </w:r>
          </w:p>
          <w:p w14:paraId="497B8386">
            <w:pPr>
              <w:adjustRightInd w:val="0"/>
              <w:snapToGrid w:val="0"/>
              <w:ind w:firstLine="480"/>
              <w:rPr>
                <w:u w:val="none"/>
              </w:rPr>
            </w:pPr>
            <w:r>
              <w:rPr>
                <w:rFonts w:hint="eastAsia"/>
                <w:u w:val="none"/>
                <w:lang w:val="en-US" w:eastAsia="zh-CN"/>
              </w:rPr>
              <w:t>综上，果山变电站环保手续齐全，环境保护措施设施运行有效，</w:t>
            </w:r>
            <w:r>
              <w:rPr>
                <w:rFonts w:hint="eastAsia"/>
                <w:u w:val="none"/>
              </w:rPr>
              <w:t>不存在遗留环保问题。</w:t>
            </w:r>
          </w:p>
        </w:tc>
      </w:tr>
      <w:tr w14:paraId="0A81A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1" w:hRule="atLeast"/>
          <w:jc w:val="center"/>
        </w:trPr>
        <w:tc>
          <w:tcPr>
            <w:tcW w:w="679" w:type="dxa"/>
            <w:vAlign w:val="center"/>
          </w:tcPr>
          <w:p w14:paraId="04BE03CB">
            <w:pPr>
              <w:adjustRightInd w:val="0"/>
              <w:snapToGrid w:val="0"/>
              <w:jc w:val="center"/>
              <w:rPr>
                <w:kern w:val="0"/>
                <w:u w:val="none"/>
              </w:rPr>
            </w:pPr>
            <w:r>
              <w:rPr>
                <w:kern w:val="0"/>
                <w:u w:val="none"/>
              </w:rPr>
              <w:t>生态环境保护目标</w:t>
            </w:r>
          </w:p>
        </w:tc>
        <w:tc>
          <w:tcPr>
            <w:tcW w:w="8478" w:type="dxa"/>
            <w:vAlign w:val="center"/>
          </w:tcPr>
          <w:p w14:paraId="439BD1B9">
            <w:pPr>
              <w:rPr>
                <w:b/>
                <w:bCs/>
                <w:u w:val="none"/>
              </w:rPr>
            </w:pPr>
            <w:r>
              <w:rPr>
                <w:rFonts w:hint="eastAsia"/>
                <w:b/>
                <w:bCs/>
                <w:u w:val="none"/>
              </w:rPr>
              <w:t>3.</w:t>
            </w:r>
            <w:r>
              <w:rPr>
                <w:rFonts w:hint="eastAsia"/>
                <w:b/>
                <w:bCs/>
                <w:u w:val="none"/>
                <w:lang w:val="en-US" w:eastAsia="zh-CN"/>
              </w:rPr>
              <w:t>8</w:t>
            </w:r>
            <w:r>
              <w:rPr>
                <w:rFonts w:hint="eastAsia"/>
                <w:b/>
                <w:bCs/>
                <w:u w:val="none"/>
              </w:rPr>
              <w:t>评价范围</w:t>
            </w:r>
          </w:p>
          <w:p w14:paraId="43832D4C">
            <w:pPr>
              <w:snapToGrid w:val="0"/>
              <w:spacing w:line="360" w:lineRule="auto"/>
              <w:ind w:firstLine="480" w:firstLineChars="200"/>
              <w:rPr>
                <w:sz w:val="24"/>
              </w:rPr>
            </w:pPr>
            <w:r>
              <w:rPr>
                <w:rFonts w:hint="eastAsia"/>
                <w:sz w:val="24"/>
              </w:rPr>
              <w:t>（1）电磁环境</w:t>
            </w:r>
          </w:p>
          <w:p w14:paraId="420A12D1">
            <w:pPr>
              <w:snapToGrid w:val="0"/>
              <w:spacing w:line="360" w:lineRule="auto"/>
              <w:ind w:firstLine="480" w:firstLineChars="200"/>
              <w:rPr>
                <w:rFonts w:hint="eastAsia" w:eastAsia="宋体"/>
                <w:sz w:val="24"/>
                <w:lang w:eastAsia="zh-CN"/>
              </w:rPr>
            </w:pPr>
            <w:r>
              <w:rPr>
                <w:rFonts w:hint="eastAsia"/>
                <w:sz w:val="24"/>
              </w:rPr>
              <w:t>变电站：220kV</w:t>
            </w:r>
            <w:r>
              <w:rPr>
                <w:rFonts w:hint="eastAsia"/>
                <w:sz w:val="24"/>
                <w:lang w:val="en-US" w:eastAsia="zh-CN"/>
              </w:rPr>
              <w:t>果山</w:t>
            </w:r>
            <w:r>
              <w:rPr>
                <w:rFonts w:hint="eastAsia"/>
                <w:sz w:val="24"/>
              </w:rPr>
              <w:t>站站界外40m范围内</w:t>
            </w:r>
            <w:r>
              <w:rPr>
                <w:rFonts w:hint="eastAsia"/>
                <w:sz w:val="24"/>
                <w:lang w:eastAsia="zh-CN"/>
              </w:rPr>
              <w:t>。</w:t>
            </w:r>
          </w:p>
          <w:p w14:paraId="3222160F">
            <w:pPr>
              <w:snapToGrid w:val="0"/>
              <w:spacing w:line="360" w:lineRule="auto"/>
              <w:ind w:firstLine="480" w:firstLineChars="200"/>
              <w:rPr>
                <w:sz w:val="24"/>
              </w:rPr>
            </w:pPr>
            <w:r>
              <w:rPr>
                <w:rFonts w:hint="eastAsia"/>
                <w:sz w:val="24"/>
              </w:rPr>
              <w:t>（2）声环境</w:t>
            </w:r>
          </w:p>
          <w:p w14:paraId="689ACE26">
            <w:pPr>
              <w:snapToGrid w:val="0"/>
              <w:spacing w:line="360" w:lineRule="auto"/>
              <w:ind w:firstLine="480" w:firstLineChars="200"/>
              <w:rPr>
                <w:rFonts w:hint="eastAsia" w:eastAsia="宋体"/>
                <w:sz w:val="24"/>
                <w:lang w:eastAsia="zh-CN"/>
              </w:rPr>
            </w:pPr>
            <w:r>
              <w:rPr>
                <w:rFonts w:hint="eastAsia"/>
                <w:sz w:val="24"/>
              </w:rPr>
              <w:t>变电站：220kV</w:t>
            </w:r>
            <w:r>
              <w:rPr>
                <w:rFonts w:hint="eastAsia"/>
                <w:sz w:val="24"/>
                <w:lang w:val="en-US" w:eastAsia="zh-CN"/>
              </w:rPr>
              <w:t>果山</w:t>
            </w:r>
            <w:r>
              <w:rPr>
                <w:rFonts w:hint="eastAsia"/>
                <w:sz w:val="24"/>
              </w:rPr>
              <w:t>站站界外</w:t>
            </w:r>
            <w:r>
              <w:rPr>
                <w:rFonts w:hint="eastAsia"/>
                <w:sz w:val="24"/>
                <w:lang w:val="en-US" w:eastAsia="zh-CN"/>
              </w:rPr>
              <w:t>20</w:t>
            </w:r>
            <w:r>
              <w:rPr>
                <w:rFonts w:hint="eastAsia"/>
                <w:sz w:val="24"/>
              </w:rPr>
              <w:t>0m范围内</w:t>
            </w:r>
            <w:r>
              <w:rPr>
                <w:rFonts w:hint="eastAsia"/>
                <w:sz w:val="24"/>
                <w:lang w:eastAsia="zh-CN"/>
              </w:rPr>
              <w:t>。</w:t>
            </w:r>
          </w:p>
          <w:p w14:paraId="1A12931B">
            <w:pPr>
              <w:snapToGrid w:val="0"/>
              <w:spacing w:line="360" w:lineRule="auto"/>
              <w:ind w:firstLine="480" w:firstLineChars="200"/>
              <w:rPr>
                <w:sz w:val="24"/>
              </w:rPr>
            </w:pPr>
            <w:r>
              <w:rPr>
                <w:rFonts w:hint="eastAsia"/>
                <w:sz w:val="24"/>
              </w:rPr>
              <w:t>（3）生态环境</w:t>
            </w:r>
          </w:p>
          <w:p w14:paraId="6A1C2DF4">
            <w:pPr>
              <w:snapToGrid w:val="0"/>
              <w:spacing w:line="360" w:lineRule="auto"/>
              <w:ind w:firstLine="480" w:firstLineChars="200"/>
              <w:rPr>
                <w:rFonts w:hint="eastAsia" w:eastAsia="宋体"/>
                <w:sz w:val="24"/>
                <w:lang w:eastAsia="zh-CN"/>
              </w:rPr>
            </w:pPr>
            <w:r>
              <w:rPr>
                <w:rFonts w:hint="eastAsia"/>
                <w:sz w:val="24"/>
              </w:rPr>
              <w:t>变电站：220kV</w:t>
            </w:r>
            <w:r>
              <w:rPr>
                <w:rFonts w:hint="eastAsia"/>
                <w:sz w:val="24"/>
                <w:lang w:val="en-US" w:eastAsia="zh-CN"/>
              </w:rPr>
              <w:t>果山</w:t>
            </w:r>
            <w:r>
              <w:rPr>
                <w:rFonts w:hint="eastAsia"/>
                <w:sz w:val="24"/>
              </w:rPr>
              <w:t>站站界外500m范围内</w:t>
            </w:r>
            <w:r>
              <w:rPr>
                <w:rFonts w:hint="eastAsia"/>
                <w:sz w:val="24"/>
                <w:lang w:eastAsia="zh-CN"/>
              </w:rPr>
              <w:t>。</w:t>
            </w:r>
          </w:p>
          <w:p w14:paraId="57126B78">
            <w:pPr>
              <w:rPr>
                <w:b/>
                <w:bCs/>
                <w:u w:val="none"/>
              </w:rPr>
            </w:pPr>
            <w:r>
              <w:rPr>
                <w:b/>
                <w:bCs/>
                <w:u w:val="none"/>
              </w:rPr>
              <w:t>3.</w:t>
            </w:r>
            <w:r>
              <w:rPr>
                <w:rFonts w:hint="eastAsia"/>
                <w:b/>
                <w:bCs/>
                <w:u w:val="none"/>
                <w:lang w:val="en-US" w:eastAsia="zh-CN"/>
              </w:rPr>
              <w:t>9</w:t>
            </w:r>
            <w:r>
              <w:rPr>
                <w:b/>
                <w:bCs/>
                <w:u w:val="none"/>
              </w:rPr>
              <w:t>评价因子</w:t>
            </w:r>
          </w:p>
          <w:p w14:paraId="2C90207C">
            <w:pPr>
              <w:adjustRightInd w:val="0"/>
              <w:snapToGrid w:val="0"/>
              <w:ind w:firstLine="482"/>
              <w:rPr>
                <w:u w:val="none"/>
              </w:rPr>
            </w:pPr>
            <w:r>
              <w:rPr>
                <w:u w:val="none"/>
              </w:rPr>
              <w:t>a）现状评价因子</w:t>
            </w:r>
          </w:p>
          <w:p w14:paraId="37290255">
            <w:pPr>
              <w:adjustRightInd w:val="0"/>
              <w:snapToGrid w:val="0"/>
              <w:ind w:firstLine="480"/>
              <w:rPr>
                <w:u w:val="none"/>
              </w:rPr>
            </w:pPr>
            <w:r>
              <w:rPr>
                <w:u w:val="none"/>
              </w:rPr>
              <w:t>1）电磁环境：工频电、磁场强度。</w:t>
            </w:r>
          </w:p>
          <w:p w14:paraId="53F716BB">
            <w:pPr>
              <w:adjustRightInd w:val="0"/>
              <w:snapToGrid w:val="0"/>
              <w:ind w:firstLine="480"/>
              <w:rPr>
                <w:u w:val="none"/>
              </w:rPr>
            </w:pPr>
            <w:r>
              <w:rPr>
                <w:u w:val="none"/>
              </w:rPr>
              <w:t>2）声环境：等效连续A声级。</w:t>
            </w:r>
          </w:p>
          <w:p w14:paraId="23E8257B">
            <w:pPr>
              <w:ind w:firstLine="480"/>
              <w:rPr>
                <w:u w:val="none"/>
              </w:rPr>
            </w:pPr>
            <w:r>
              <w:rPr>
                <w:u w:val="none"/>
              </w:rPr>
              <w:t>3）生态环境：植物覆盖率、水土流失量。</w:t>
            </w:r>
          </w:p>
          <w:p w14:paraId="5635A905">
            <w:pPr>
              <w:adjustRightInd w:val="0"/>
              <w:snapToGrid w:val="0"/>
              <w:ind w:firstLine="482"/>
              <w:rPr>
                <w:u w:val="none"/>
              </w:rPr>
            </w:pPr>
            <w:r>
              <w:rPr>
                <w:u w:val="none"/>
              </w:rPr>
              <w:t>b）预测评价因子</w:t>
            </w:r>
          </w:p>
          <w:p w14:paraId="50DF5C86">
            <w:pPr>
              <w:adjustRightInd w:val="0"/>
              <w:snapToGrid w:val="0"/>
              <w:ind w:firstLine="480"/>
              <w:rPr>
                <w:u w:val="none"/>
              </w:rPr>
            </w:pPr>
            <w:r>
              <w:rPr>
                <w:u w:val="none"/>
              </w:rPr>
              <w:t>1）噪声：等效连续A声级。</w:t>
            </w:r>
          </w:p>
          <w:p w14:paraId="7B8BBFDC">
            <w:pPr>
              <w:tabs>
                <w:tab w:val="right" w:leader="dot" w:pos="8190"/>
              </w:tabs>
              <w:adjustRightInd w:val="0"/>
              <w:snapToGrid w:val="0"/>
              <w:ind w:firstLine="480"/>
              <w:rPr>
                <w:u w:val="none"/>
              </w:rPr>
            </w:pPr>
            <w:r>
              <w:rPr>
                <w:u w:val="none"/>
              </w:rPr>
              <w:t>2）电磁环境：工频电、磁场强度。</w:t>
            </w:r>
          </w:p>
          <w:p w14:paraId="72512704">
            <w:pPr>
              <w:autoSpaceDE w:val="0"/>
              <w:autoSpaceDN w:val="0"/>
              <w:adjustRightInd w:val="0"/>
              <w:snapToGrid w:val="0"/>
              <w:rPr>
                <w:b/>
                <w:kern w:val="0"/>
                <w:u w:val="none"/>
              </w:rPr>
            </w:pPr>
            <w:r>
              <w:rPr>
                <w:rFonts w:hint="eastAsia"/>
                <w:b/>
                <w:kern w:val="0"/>
                <w:u w:val="none"/>
                <w:lang w:eastAsia="zh-CN"/>
              </w:rPr>
              <w:t>3.10</w:t>
            </w:r>
            <w:r>
              <w:rPr>
                <w:b/>
                <w:kern w:val="0"/>
                <w:u w:val="none"/>
              </w:rPr>
              <w:t>环境敏感目标</w:t>
            </w:r>
          </w:p>
          <w:p w14:paraId="2234FA88">
            <w:pPr>
              <w:tabs>
                <w:tab w:val="right" w:leader="dot" w:pos="8190"/>
              </w:tabs>
              <w:adjustRightInd w:val="0"/>
              <w:snapToGrid w:val="0"/>
              <w:ind w:firstLine="480" w:firstLineChars="200"/>
              <w:rPr>
                <w:u w:val="none"/>
              </w:rPr>
            </w:pPr>
            <w:r>
              <w:rPr>
                <w:u w:val="none"/>
              </w:rPr>
              <w:t>根据现场踏勘，本工程评价范围内无国家公园、自然保护区、风景名胜区、世界文化和自然遗产地、海洋特别保护区、饮用水水源保护区。变电站</w:t>
            </w:r>
            <w:r>
              <w:rPr>
                <w:rFonts w:hint="eastAsia"/>
                <w:u w:val="none"/>
              </w:rPr>
              <w:t>厂界4</w:t>
            </w:r>
            <w:r>
              <w:rPr>
                <w:u w:val="none"/>
              </w:rPr>
              <w:t>0m范围内存在</w:t>
            </w:r>
            <w:r>
              <w:rPr>
                <w:rFonts w:hint="eastAsia"/>
                <w:u w:val="none"/>
              </w:rPr>
              <w:t>1</w:t>
            </w:r>
            <w:r>
              <w:rPr>
                <w:u w:val="none"/>
              </w:rPr>
              <w:t>处电磁环境</w:t>
            </w:r>
            <w:r>
              <w:rPr>
                <w:rFonts w:hint="eastAsia"/>
                <w:u w:val="none"/>
              </w:rPr>
              <w:t>敏感目标</w:t>
            </w:r>
            <w:r>
              <w:rPr>
                <w:rFonts w:hint="eastAsia"/>
                <w:u w:val="none"/>
                <w:lang w:eastAsia="zh-CN"/>
              </w:rPr>
              <w:t>、</w:t>
            </w:r>
            <w:r>
              <w:rPr>
                <w:rFonts w:hint="eastAsia"/>
                <w:u w:val="none"/>
                <w:lang w:val="en-US" w:eastAsia="zh-CN"/>
              </w:rPr>
              <w:t>厂界200m范围内存在1处声环境敏感目标</w:t>
            </w:r>
            <w:r>
              <w:rPr>
                <w:u w:val="none"/>
              </w:rPr>
              <w:t>。本项目主要环境敏感目标情况详见表</w:t>
            </w:r>
            <w:r>
              <w:rPr>
                <w:rFonts w:hint="eastAsia"/>
                <w:u w:val="none"/>
                <w:lang w:eastAsia="zh-CN"/>
              </w:rPr>
              <w:t>3.10</w:t>
            </w:r>
            <w:r>
              <w:rPr>
                <w:u w:val="none"/>
              </w:rPr>
              <w:t>-1。</w:t>
            </w:r>
          </w:p>
          <w:p w14:paraId="7D1C77EE">
            <w:pPr>
              <w:pStyle w:val="30"/>
              <w:spacing w:before="72" w:after="120"/>
              <w:rPr>
                <w:sz w:val="21"/>
                <w:szCs w:val="21"/>
                <w:u w:val="none"/>
              </w:rPr>
            </w:pPr>
            <w:r>
              <w:rPr>
                <w:sz w:val="21"/>
                <w:szCs w:val="21"/>
                <w:u w:val="none"/>
              </w:rPr>
              <w:t>表</w:t>
            </w:r>
            <w:r>
              <w:rPr>
                <w:rFonts w:hint="eastAsia"/>
                <w:sz w:val="21"/>
                <w:szCs w:val="21"/>
                <w:u w:val="none"/>
                <w:lang w:eastAsia="zh-CN"/>
              </w:rPr>
              <w:t>3.10</w:t>
            </w:r>
            <w:r>
              <w:rPr>
                <w:sz w:val="21"/>
                <w:szCs w:val="21"/>
                <w:u w:val="none"/>
              </w:rPr>
              <w:t>-1本项目主要环境敏感目标情况</w:t>
            </w:r>
          </w:p>
          <w:tbl>
            <w:tblPr>
              <w:tblStyle w:val="19"/>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980"/>
              <w:gridCol w:w="446"/>
              <w:gridCol w:w="754"/>
              <w:gridCol w:w="1658"/>
              <w:gridCol w:w="1367"/>
              <w:gridCol w:w="1028"/>
            </w:tblGrid>
            <w:tr w14:paraId="1FE7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277" w:type="pct"/>
                  <w:tcMar>
                    <w:left w:w="0" w:type="dxa"/>
                    <w:right w:w="0" w:type="dxa"/>
                  </w:tcMar>
                  <w:vAlign w:val="center"/>
                </w:tcPr>
                <w:p w14:paraId="72296435">
                  <w:pPr>
                    <w:pStyle w:val="31"/>
                    <w:rPr>
                      <w:color w:val="auto"/>
                      <w:u w:val="none"/>
                    </w:rPr>
                  </w:pPr>
                  <w:r>
                    <w:rPr>
                      <w:color w:val="auto"/>
                      <w:u w:val="none"/>
                    </w:rPr>
                    <w:t>序号</w:t>
                  </w:r>
                </w:p>
              </w:tc>
              <w:tc>
                <w:tcPr>
                  <w:tcW w:w="1292" w:type="pct"/>
                  <w:tcMar>
                    <w:left w:w="0" w:type="dxa"/>
                    <w:right w:w="0" w:type="dxa"/>
                  </w:tcMar>
                  <w:vAlign w:val="center"/>
                </w:tcPr>
                <w:p w14:paraId="15CCB684">
                  <w:pPr>
                    <w:pStyle w:val="31"/>
                    <w:rPr>
                      <w:color w:val="auto"/>
                      <w:u w:val="none"/>
                    </w:rPr>
                  </w:pPr>
                  <w:r>
                    <w:rPr>
                      <w:color w:val="auto"/>
                      <w:u w:val="none"/>
                    </w:rPr>
                    <w:t>名称</w:t>
                  </w:r>
                </w:p>
              </w:tc>
              <w:tc>
                <w:tcPr>
                  <w:tcW w:w="291" w:type="pct"/>
                  <w:tcMar>
                    <w:left w:w="0" w:type="dxa"/>
                    <w:right w:w="0" w:type="dxa"/>
                  </w:tcMar>
                  <w:vAlign w:val="center"/>
                </w:tcPr>
                <w:p w14:paraId="64846492">
                  <w:pPr>
                    <w:pStyle w:val="31"/>
                    <w:rPr>
                      <w:color w:val="auto"/>
                      <w:u w:val="none"/>
                    </w:rPr>
                  </w:pPr>
                  <w:r>
                    <w:rPr>
                      <w:color w:val="auto"/>
                      <w:u w:val="none"/>
                    </w:rPr>
                    <w:t>功能</w:t>
                  </w:r>
                </w:p>
              </w:tc>
              <w:tc>
                <w:tcPr>
                  <w:tcW w:w="492" w:type="pct"/>
                  <w:vAlign w:val="center"/>
                </w:tcPr>
                <w:p w14:paraId="5CFEFDEE">
                  <w:pPr>
                    <w:pStyle w:val="31"/>
                    <w:rPr>
                      <w:color w:val="auto"/>
                      <w:u w:val="none"/>
                    </w:rPr>
                  </w:pPr>
                  <w:r>
                    <w:rPr>
                      <w:color w:val="auto"/>
                      <w:u w:val="none"/>
                    </w:rPr>
                    <w:t>评价范围</w:t>
                  </w:r>
                </w:p>
                <w:p w14:paraId="09A7ED9F">
                  <w:pPr>
                    <w:pStyle w:val="31"/>
                    <w:rPr>
                      <w:color w:val="auto"/>
                      <w:u w:val="none"/>
                    </w:rPr>
                  </w:pPr>
                  <w:r>
                    <w:rPr>
                      <w:color w:val="auto"/>
                      <w:u w:val="none"/>
                    </w:rPr>
                    <w:t>内规模</w:t>
                  </w:r>
                </w:p>
              </w:tc>
              <w:tc>
                <w:tcPr>
                  <w:tcW w:w="1082" w:type="pct"/>
                  <w:tcMar>
                    <w:left w:w="0" w:type="dxa"/>
                    <w:right w:w="0" w:type="dxa"/>
                  </w:tcMar>
                  <w:vAlign w:val="center"/>
                </w:tcPr>
                <w:p w14:paraId="64C080DF">
                  <w:pPr>
                    <w:pStyle w:val="31"/>
                    <w:rPr>
                      <w:color w:val="auto"/>
                      <w:u w:val="none"/>
                    </w:rPr>
                  </w:pPr>
                  <w:r>
                    <w:rPr>
                      <w:color w:val="auto"/>
                      <w:u w:val="none"/>
                    </w:rPr>
                    <w:t>建筑特征</w:t>
                  </w:r>
                </w:p>
              </w:tc>
              <w:tc>
                <w:tcPr>
                  <w:tcW w:w="892" w:type="pct"/>
                  <w:tcMar>
                    <w:left w:w="0" w:type="dxa"/>
                    <w:right w:w="0" w:type="dxa"/>
                  </w:tcMar>
                  <w:vAlign w:val="center"/>
                </w:tcPr>
                <w:p w14:paraId="206C9197">
                  <w:pPr>
                    <w:pStyle w:val="31"/>
                    <w:rPr>
                      <w:color w:val="auto"/>
                      <w:u w:val="none"/>
                    </w:rPr>
                  </w:pPr>
                  <w:r>
                    <w:rPr>
                      <w:color w:val="auto"/>
                      <w:u w:val="none"/>
                    </w:rPr>
                    <w:t>与本项目</w:t>
                  </w:r>
                </w:p>
                <w:p w14:paraId="5FDA5E62">
                  <w:pPr>
                    <w:pStyle w:val="31"/>
                    <w:rPr>
                      <w:color w:val="auto"/>
                      <w:u w:val="none"/>
                    </w:rPr>
                  </w:pPr>
                  <w:r>
                    <w:rPr>
                      <w:color w:val="auto"/>
                      <w:u w:val="none"/>
                    </w:rPr>
                    <w:t>位置关系</w:t>
                  </w:r>
                </w:p>
              </w:tc>
              <w:tc>
                <w:tcPr>
                  <w:tcW w:w="670" w:type="pct"/>
                  <w:tcMar>
                    <w:left w:w="0" w:type="dxa"/>
                    <w:right w:w="0" w:type="dxa"/>
                  </w:tcMar>
                  <w:vAlign w:val="center"/>
                </w:tcPr>
                <w:p w14:paraId="6A80DB95">
                  <w:pPr>
                    <w:pStyle w:val="31"/>
                    <w:rPr>
                      <w:color w:val="auto"/>
                      <w:u w:val="none"/>
                    </w:rPr>
                  </w:pPr>
                  <w:r>
                    <w:rPr>
                      <w:color w:val="auto"/>
                      <w:u w:val="none"/>
                    </w:rPr>
                    <w:t>环境影响</w:t>
                  </w:r>
                </w:p>
                <w:p w14:paraId="27AFE483">
                  <w:pPr>
                    <w:pStyle w:val="31"/>
                    <w:rPr>
                      <w:color w:val="auto"/>
                      <w:u w:val="none"/>
                    </w:rPr>
                  </w:pPr>
                  <w:r>
                    <w:rPr>
                      <w:color w:val="auto"/>
                      <w:u w:val="none"/>
                    </w:rPr>
                    <w:t>因子</w:t>
                  </w:r>
                </w:p>
              </w:tc>
            </w:tr>
            <w:tr w14:paraId="1239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277" w:type="pct"/>
                  <w:tcMar>
                    <w:left w:w="0" w:type="dxa"/>
                    <w:right w:w="0" w:type="dxa"/>
                  </w:tcMar>
                  <w:vAlign w:val="center"/>
                </w:tcPr>
                <w:p w14:paraId="755C99D0">
                  <w:pPr>
                    <w:pStyle w:val="32"/>
                    <w:rPr>
                      <w:u w:val="none"/>
                    </w:rPr>
                  </w:pPr>
                  <w:r>
                    <w:rPr>
                      <w:u w:val="none"/>
                    </w:rPr>
                    <w:t>1</w:t>
                  </w:r>
                </w:p>
              </w:tc>
              <w:tc>
                <w:tcPr>
                  <w:tcW w:w="1292" w:type="pct"/>
                  <w:tcMar>
                    <w:left w:w="0" w:type="dxa"/>
                    <w:right w:w="0" w:type="dxa"/>
                  </w:tcMar>
                  <w:vAlign w:val="center"/>
                </w:tcPr>
                <w:p w14:paraId="2BD51E38">
                  <w:pPr>
                    <w:pStyle w:val="32"/>
                    <w:rPr>
                      <w:u w:val="none"/>
                      <w:lang w:eastAsia="zh-CN"/>
                    </w:rPr>
                  </w:pPr>
                  <w:r>
                    <w:rPr>
                      <w:rFonts w:hint="eastAsia"/>
                      <w:u w:val="none"/>
                      <w:lang w:eastAsia="zh-CN"/>
                    </w:rPr>
                    <w:t>柳州市骏铭印刷厂</w:t>
                  </w:r>
                </w:p>
              </w:tc>
              <w:tc>
                <w:tcPr>
                  <w:tcW w:w="291" w:type="pct"/>
                  <w:vAlign w:val="center"/>
                </w:tcPr>
                <w:p w14:paraId="23C9F751">
                  <w:pPr>
                    <w:pStyle w:val="32"/>
                    <w:rPr>
                      <w:u w:val="none"/>
                      <w:lang w:eastAsia="zh-CN"/>
                    </w:rPr>
                  </w:pPr>
                  <w:r>
                    <w:rPr>
                      <w:rFonts w:hint="eastAsia"/>
                      <w:u w:val="none"/>
                      <w:lang w:val="en-US" w:eastAsia="zh-CN"/>
                    </w:rPr>
                    <w:t>厂房</w:t>
                  </w:r>
                </w:p>
              </w:tc>
              <w:tc>
                <w:tcPr>
                  <w:tcW w:w="492" w:type="pct"/>
                  <w:vAlign w:val="center"/>
                </w:tcPr>
                <w:p w14:paraId="15D0445E">
                  <w:pPr>
                    <w:pStyle w:val="32"/>
                    <w:rPr>
                      <w:u w:val="none"/>
                      <w:lang w:eastAsia="zh-CN"/>
                    </w:rPr>
                  </w:pPr>
                  <w:r>
                    <w:rPr>
                      <w:rFonts w:hint="eastAsia"/>
                      <w:u w:val="none"/>
                      <w:lang w:eastAsia="zh-CN"/>
                    </w:rPr>
                    <w:t>\</w:t>
                  </w:r>
                </w:p>
              </w:tc>
              <w:tc>
                <w:tcPr>
                  <w:tcW w:w="1082" w:type="pct"/>
                  <w:tcMar>
                    <w:left w:w="0" w:type="dxa"/>
                    <w:right w:w="0" w:type="dxa"/>
                  </w:tcMar>
                  <w:vAlign w:val="center"/>
                </w:tcPr>
                <w:p w14:paraId="7698C646">
                  <w:pPr>
                    <w:pStyle w:val="32"/>
                    <w:rPr>
                      <w:u w:val="none"/>
                      <w:lang w:eastAsia="zh-CN"/>
                    </w:rPr>
                  </w:pPr>
                  <w:r>
                    <w:rPr>
                      <w:u w:val="none"/>
                      <w:lang w:eastAsia="zh-CN"/>
                    </w:rPr>
                    <w:t>1层平顶高度</w:t>
                  </w:r>
                  <w:r>
                    <w:rPr>
                      <w:rFonts w:hint="eastAsia"/>
                      <w:u w:val="none"/>
                      <w:lang w:eastAsia="zh-CN"/>
                    </w:rPr>
                    <w:t>20</w:t>
                  </w:r>
                  <w:r>
                    <w:rPr>
                      <w:u w:val="none"/>
                      <w:lang w:eastAsia="zh-CN"/>
                    </w:rPr>
                    <w:t>m</w:t>
                  </w:r>
                </w:p>
              </w:tc>
              <w:tc>
                <w:tcPr>
                  <w:tcW w:w="892" w:type="pct"/>
                  <w:tcMar>
                    <w:left w:w="0" w:type="dxa"/>
                    <w:right w:w="0" w:type="dxa"/>
                  </w:tcMar>
                  <w:vAlign w:val="center"/>
                </w:tcPr>
                <w:p w14:paraId="23DB60BB">
                  <w:pPr>
                    <w:pStyle w:val="32"/>
                    <w:rPr>
                      <w:u w:val="none"/>
                      <w:lang w:eastAsia="zh-CN"/>
                    </w:rPr>
                  </w:pPr>
                  <w:r>
                    <w:rPr>
                      <w:rFonts w:hint="eastAsia"/>
                      <w:u w:val="none"/>
                      <w:lang w:eastAsia="zh-CN"/>
                    </w:rPr>
                    <w:t>厂界</w:t>
                  </w:r>
                  <w:r>
                    <w:rPr>
                      <w:rFonts w:hint="eastAsia"/>
                      <w:u w:val="none"/>
                      <w:lang w:val="en-US" w:eastAsia="zh-CN"/>
                    </w:rPr>
                    <w:t>西</w:t>
                  </w:r>
                  <w:r>
                    <w:rPr>
                      <w:u w:val="none"/>
                      <w:lang w:eastAsia="zh-CN"/>
                    </w:rPr>
                    <w:t>侧</w:t>
                  </w:r>
                  <w:r>
                    <w:rPr>
                      <w:rFonts w:hint="eastAsia"/>
                      <w:u w:val="none"/>
                      <w:lang w:val="en-US" w:eastAsia="zh-CN"/>
                    </w:rPr>
                    <w:t>13</w:t>
                  </w:r>
                  <w:r>
                    <w:rPr>
                      <w:u w:val="none"/>
                      <w:lang w:eastAsia="zh-CN"/>
                    </w:rPr>
                    <w:t>m</w:t>
                  </w:r>
                </w:p>
              </w:tc>
              <w:tc>
                <w:tcPr>
                  <w:tcW w:w="670" w:type="pct"/>
                  <w:tcMar>
                    <w:left w:w="0" w:type="dxa"/>
                    <w:right w:w="0" w:type="dxa"/>
                  </w:tcMar>
                  <w:vAlign w:val="center"/>
                </w:tcPr>
                <w:p w14:paraId="7516A188">
                  <w:pPr>
                    <w:pStyle w:val="32"/>
                    <w:rPr>
                      <w:u w:val="none"/>
                      <w:lang w:eastAsia="zh-CN"/>
                    </w:rPr>
                  </w:pPr>
                  <w:r>
                    <w:rPr>
                      <w:u w:val="none"/>
                      <w:lang w:eastAsia="zh-CN"/>
                    </w:rPr>
                    <w:t>E、H</w:t>
                  </w:r>
                </w:p>
              </w:tc>
            </w:tr>
            <w:tr w14:paraId="2C2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277" w:type="pct"/>
                  <w:tcMar>
                    <w:left w:w="0" w:type="dxa"/>
                    <w:right w:w="0" w:type="dxa"/>
                  </w:tcMar>
                  <w:vAlign w:val="center"/>
                </w:tcPr>
                <w:p w14:paraId="5BECCA25">
                  <w:pPr>
                    <w:pStyle w:val="32"/>
                    <w:rPr>
                      <w:rFonts w:hint="eastAsia" w:eastAsia="宋体"/>
                      <w:u w:val="none"/>
                      <w:lang w:val="en-US" w:eastAsia="zh-CN"/>
                    </w:rPr>
                  </w:pPr>
                  <w:r>
                    <w:rPr>
                      <w:rFonts w:hint="eastAsia"/>
                      <w:u w:val="none"/>
                      <w:lang w:val="en-US" w:eastAsia="zh-CN"/>
                    </w:rPr>
                    <w:t>2</w:t>
                  </w:r>
                </w:p>
              </w:tc>
              <w:tc>
                <w:tcPr>
                  <w:tcW w:w="1292" w:type="pct"/>
                  <w:tcMar>
                    <w:left w:w="0" w:type="dxa"/>
                    <w:right w:w="0" w:type="dxa"/>
                  </w:tcMar>
                  <w:vAlign w:val="center"/>
                </w:tcPr>
                <w:p w14:paraId="11D54DBE">
                  <w:pPr>
                    <w:pStyle w:val="32"/>
                    <w:rPr>
                      <w:rFonts w:hint="eastAsia"/>
                      <w:u w:val="none"/>
                      <w:lang w:eastAsia="zh-CN"/>
                    </w:rPr>
                  </w:pPr>
                  <w:r>
                    <w:rPr>
                      <w:rFonts w:hint="eastAsia"/>
                      <w:u w:val="none"/>
                      <w:lang w:eastAsia="zh-CN"/>
                    </w:rPr>
                    <w:t>广西诚达工程质量检测公司办公楼</w:t>
                  </w:r>
                </w:p>
              </w:tc>
              <w:tc>
                <w:tcPr>
                  <w:tcW w:w="291" w:type="pct"/>
                  <w:vAlign w:val="center"/>
                </w:tcPr>
                <w:p w14:paraId="16668DB2">
                  <w:pPr>
                    <w:pStyle w:val="32"/>
                    <w:rPr>
                      <w:rFonts w:hint="default"/>
                      <w:u w:val="none"/>
                      <w:lang w:val="en-US" w:eastAsia="zh-CN"/>
                    </w:rPr>
                  </w:pPr>
                  <w:r>
                    <w:rPr>
                      <w:rFonts w:hint="eastAsia"/>
                      <w:u w:val="none"/>
                      <w:lang w:val="en-US" w:eastAsia="zh-CN"/>
                    </w:rPr>
                    <w:t>办公楼</w:t>
                  </w:r>
                </w:p>
              </w:tc>
              <w:tc>
                <w:tcPr>
                  <w:tcW w:w="492" w:type="pct"/>
                  <w:vAlign w:val="center"/>
                </w:tcPr>
                <w:p w14:paraId="19B8970C">
                  <w:pPr>
                    <w:pStyle w:val="32"/>
                    <w:rPr>
                      <w:rFonts w:hint="eastAsia"/>
                      <w:u w:val="none"/>
                      <w:lang w:eastAsia="zh-CN"/>
                    </w:rPr>
                  </w:pPr>
                  <w:r>
                    <w:rPr>
                      <w:rFonts w:hint="eastAsia"/>
                      <w:u w:val="none"/>
                      <w:lang w:eastAsia="zh-CN"/>
                    </w:rPr>
                    <w:t>\</w:t>
                  </w:r>
                </w:p>
              </w:tc>
              <w:tc>
                <w:tcPr>
                  <w:tcW w:w="1082" w:type="pct"/>
                  <w:tcMar>
                    <w:left w:w="0" w:type="dxa"/>
                    <w:right w:w="0" w:type="dxa"/>
                  </w:tcMar>
                  <w:vAlign w:val="center"/>
                </w:tcPr>
                <w:p w14:paraId="5FEE4B0F">
                  <w:pPr>
                    <w:pStyle w:val="32"/>
                    <w:rPr>
                      <w:u w:val="none"/>
                      <w:lang w:eastAsia="zh-CN"/>
                    </w:rPr>
                  </w:pPr>
                  <w:r>
                    <w:rPr>
                      <w:rFonts w:hint="eastAsia"/>
                      <w:u w:val="none"/>
                      <w:lang w:val="en-US" w:eastAsia="zh-CN"/>
                    </w:rPr>
                    <w:t>3</w:t>
                  </w:r>
                  <w:r>
                    <w:rPr>
                      <w:u w:val="none"/>
                      <w:lang w:eastAsia="zh-CN"/>
                    </w:rPr>
                    <w:t>层平顶高度</w:t>
                  </w:r>
                  <w:r>
                    <w:rPr>
                      <w:rFonts w:hint="eastAsia"/>
                      <w:u w:val="none"/>
                      <w:lang w:val="en-US" w:eastAsia="zh-CN"/>
                    </w:rPr>
                    <w:t>1</w:t>
                  </w:r>
                  <w:r>
                    <w:rPr>
                      <w:rFonts w:hint="eastAsia"/>
                      <w:u w:val="none"/>
                      <w:lang w:eastAsia="zh-CN"/>
                    </w:rPr>
                    <w:t>0</w:t>
                  </w:r>
                  <w:r>
                    <w:rPr>
                      <w:u w:val="none"/>
                      <w:lang w:eastAsia="zh-CN"/>
                    </w:rPr>
                    <w:t>m</w:t>
                  </w:r>
                </w:p>
              </w:tc>
              <w:tc>
                <w:tcPr>
                  <w:tcW w:w="892" w:type="pct"/>
                  <w:tcMar>
                    <w:left w:w="0" w:type="dxa"/>
                    <w:right w:w="0" w:type="dxa"/>
                  </w:tcMar>
                  <w:vAlign w:val="center"/>
                </w:tcPr>
                <w:p w14:paraId="5F09F907">
                  <w:pPr>
                    <w:pStyle w:val="32"/>
                    <w:rPr>
                      <w:rFonts w:hint="default"/>
                      <w:u w:val="none"/>
                      <w:lang w:val="en-US" w:eastAsia="zh-CN"/>
                    </w:rPr>
                  </w:pPr>
                  <w:r>
                    <w:rPr>
                      <w:rFonts w:hint="eastAsia"/>
                      <w:u w:val="none"/>
                      <w:lang w:val="en-US" w:eastAsia="zh-CN"/>
                    </w:rPr>
                    <w:t>厂界东南侧135m</w:t>
                  </w:r>
                </w:p>
              </w:tc>
              <w:tc>
                <w:tcPr>
                  <w:tcW w:w="670" w:type="pct"/>
                  <w:tcMar>
                    <w:left w:w="0" w:type="dxa"/>
                    <w:right w:w="0" w:type="dxa"/>
                  </w:tcMar>
                  <w:vAlign w:val="center"/>
                </w:tcPr>
                <w:p w14:paraId="381635F9">
                  <w:pPr>
                    <w:pStyle w:val="32"/>
                    <w:rPr>
                      <w:rFonts w:hint="default"/>
                      <w:u w:val="none"/>
                      <w:lang w:val="en-US" w:eastAsia="zh-CN"/>
                    </w:rPr>
                  </w:pPr>
                  <w:r>
                    <w:rPr>
                      <w:rFonts w:hint="eastAsia"/>
                      <w:u w:val="none"/>
                      <w:lang w:val="en-US" w:eastAsia="zh-CN"/>
                    </w:rPr>
                    <w:t>N</w:t>
                  </w:r>
                </w:p>
              </w:tc>
            </w:tr>
          </w:tbl>
          <w:p w14:paraId="48D7A93A">
            <w:pPr>
              <w:adjustRightInd w:val="0"/>
              <w:snapToGrid w:val="0"/>
              <w:ind w:firstLine="315" w:firstLineChars="150"/>
              <w:rPr>
                <w:rFonts w:hint="default" w:eastAsia="宋体"/>
                <w:kern w:val="0"/>
                <w:u w:val="none"/>
                <w:lang w:val="en-US" w:eastAsia="zh-CN"/>
              </w:rPr>
            </w:pPr>
            <w:r>
              <w:rPr>
                <w:rFonts w:hint="eastAsia"/>
                <w:kern w:val="0"/>
                <w:sz w:val="21"/>
                <w:szCs w:val="21"/>
                <w:u w:val="none"/>
              </w:rPr>
              <w:t>注：E工频电场</w:t>
            </w:r>
            <w:r>
              <w:rPr>
                <w:rFonts w:hint="eastAsia"/>
                <w:kern w:val="0"/>
                <w:sz w:val="21"/>
                <w:szCs w:val="21"/>
                <w:u w:val="none"/>
                <w:lang w:val="en-US" w:eastAsia="zh-CN"/>
              </w:rPr>
              <w:t xml:space="preserve"> </w:t>
            </w:r>
            <w:r>
              <w:rPr>
                <w:rFonts w:hint="eastAsia"/>
                <w:kern w:val="0"/>
                <w:sz w:val="21"/>
                <w:szCs w:val="21"/>
                <w:u w:val="none"/>
              </w:rPr>
              <w:t>H工频磁场</w:t>
            </w:r>
            <w:r>
              <w:rPr>
                <w:rFonts w:hint="eastAsia"/>
                <w:kern w:val="0"/>
                <w:sz w:val="21"/>
                <w:szCs w:val="21"/>
                <w:u w:val="none"/>
                <w:lang w:val="en-US" w:eastAsia="zh-CN"/>
              </w:rPr>
              <w:t xml:space="preserve"> N噪声</w:t>
            </w:r>
          </w:p>
        </w:tc>
      </w:tr>
      <w:tr w14:paraId="55F5C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679" w:type="dxa"/>
            <w:vAlign w:val="center"/>
          </w:tcPr>
          <w:p w14:paraId="4772FC7A">
            <w:pPr>
              <w:adjustRightInd w:val="0"/>
              <w:snapToGrid w:val="0"/>
              <w:jc w:val="center"/>
              <w:rPr>
                <w:kern w:val="0"/>
                <w:u w:val="none"/>
              </w:rPr>
            </w:pPr>
            <w:r>
              <w:rPr>
                <w:kern w:val="0"/>
                <w:u w:val="none"/>
              </w:rPr>
              <w:t>评价</w:t>
            </w:r>
          </w:p>
          <w:p w14:paraId="029DA2BC">
            <w:pPr>
              <w:adjustRightInd w:val="0"/>
              <w:snapToGrid w:val="0"/>
              <w:jc w:val="center"/>
              <w:rPr>
                <w:kern w:val="0"/>
                <w:u w:val="none"/>
              </w:rPr>
            </w:pPr>
            <w:r>
              <w:rPr>
                <w:kern w:val="0"/>
                <w:u w:val="none"/>
              </w:rPr>
              <w:t>标准</w:t>
            </w:r>
          </w:p>
        </w:tc>
        <w:tc>
          <w:tcPr>
            <w:tcW w:w="8478" w:type="dxa"/>
            <w:vAlign w:val="center"/>
          </w:tcPr>
          <w:p w14:paraId="5D6458A4">
            <w:pPr>
              <w:adjustRightInd w:val="0"/>
              <w:snapToGrid w:val="0"/>
              <w:rPr>
                <w:b/>
                <w:bCs/>
                <w:u w:val="none"/>
              </w:rPr>
            </w:pPr>
            <w:r>
              <w:rPr>
                <w:rFonts w:hint="eastAsia"/>
                <w:b/>
                <w:bCs/>
                <w:u w:val="none"/>
                <w:lang w:eastAsia="zh-CN"/>
              </w:rPr>
              <w:t>3.11</w:t>
            </w:r>
            <w:r>
              <w:rPr>
                <w:b/>
                <w:bCs/>
                <w:u w:val="none"/>
              </w:rPr>
              <w:t>环境质量标准</w:t>
            </w:r>
          </w:p>
          <w:p w14:paraId="4E534BEB">
            <w:pPr>
              <w:keepNext/>
              <w:adjustRightInd w:val="0"/>
              <w:snapToGrid w:val="0"/>
              <w:rPr>
                <w:u w:val="none"/>
              </w:rPr>
            </w:pPr>
            <w:bookmarkStart w:id="25" w:name="_Toc17794194"/>
            <w:r>
              <w:rPr>
                <w:rFonts w:hint="eastAsia"/>
                <w:u w:val="none"/>
                <w:lang w:eastAsia="zh-CN"/>
              </w:rPr>
              <w:t>3.11</w:t>
            </w:r>
            <w:r>
              <w:rPr>
                <w:u w:val="none"/>
              </w:rPr>
              <w:t>.1环境空气</w:t>
            </w:r>
            <w:bookmarkEnd w:id="25"/>
          </w:p>
          <w:p w14:paraId="5224EF20">
            <w:pPr>
              <w:keepNext/>
              <w:adjustRightInd w:val="0"/>
              <w:snapToGrid w:val="0"/>
              <w:ind w:firstLine="480"/>
              <w:rPr>
                <w:u w:val="none"/>
              </w:rPr>
            </w:pPr>
            <w:r>
              <w:rPr>
                <w:u w:val="none"/>
              </w:rPr>
              <w:t>按照《环境空气质量标准》（GB3095－2012）中二级标准执行，标准限值详见表</w:t>
            </w:r>
            <w:r>
              <w:rPr>
                <w:rFonts w:hint="eastAsia"/>
                <w:u w:val="none"/>
                <w:lang w:eastAsia="zh-CN"/>
              </w:rPr>
              <w:t>3.11</w:t>
            </w:r>
            <w:r>
              <w:rPr>
                <w:u w:val="none"/>
              </w:rPr>
              <w:t>-1。</w:t>
            </w:r>
          </w:p>
          <w:p w14:paraId="206BEACC">
            <w:pPr>
              <w:pStyle w:val="30"/>
              <w:spacing w:before="72" w:after="120"/>
              <w:rPr>
                <w:u w:val="none"/>
              </w:rPr>
            </w:pPr>
            <w:r>
              <w:rPr>
                <w:u w:val="none"/>
              </w:rPr>
              <w:t>表</w:t>
            </w:r>
            <w:r>
              <w:rPr>
                <w:rFonts w:hint="eastAsia"/>
                <w:u w:val="none"/>
                <w:lang w:eastAsia="zh-CN"/>
              </w:rPr>
              <w:t>3.11</w:t>
            </w:r>
            <w:r>
              <w:rPr>
                <w:u w:val="none"/>
              </w:rPr>
              <w:t>-1环境空气质量标准限值</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503"/>
              <w:gridCol w:w="2613"/>
            </w:tblGrid>
            <w:tr w14:paraId="7076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Align w:val="center"/>
                </w:tcPr>
                <w:p w14:paraId="21F5A033">
                  <w:pPr>
                    <w:pStyle w:val="31"/>
                    <w:rPr>
                      <w:u w:val="none"/>
                      <w:lang w:val="en-US"/>
                    </w:rPr>
                  </w:pPr>
                  <w:r>
                    <w:rPr>
                      <w:u w:val="none"/>
                    </w:rPr>
                    <w:t>污染物</w:t>
                  </w:r>
                </w:p>
              </w:tc>
              <w:tc>
                <w:tcPr>
                  <w:tcW w:w="5116" w:type="dxa"/>
                  <w:gridSpan w:val="2"/>
                  <w:vAlign w:val="center"/>
                </w:tcPr>
                <w:p w14:paraId="351B693B">
                  <w:pPr>
                    <w:pStyle w:val="31"/>
                    <w:rPr>
                      <w:u w:val="none"/>
                      <w:lang w:val="en-US"/>
                    </w:rPr>
                  </w:pPr>
                  <w:r>
                    <w:rPr>
                      <w:u w:val="none"/>
                    </w:rPr>
                    <w:t>标准限值</w:t>
                  </w:r>
                  <w:r>
                    <w:rPr>
                      <w:u w:val="none"/>
                      <w:lang w:val="en-US"/>
                    </w:rPr>
                    <w:t>（</w:t>
                  </w:r>
                  <w:r>
                    <w:rPr>
                      <w:u w:val="none"/>
                    </w:rPr>
                    <w:t>μ</w:t>
                  </w:r>
                  <w:r>
                    <w:rPr>
                      <w:u w:val="none"/>
                      <w:lang w:val="en-US"/>
                    </w:rPr>
                    <w:t>g/m</w:t>
                  </w:r>
                  <w:r>
                    <w:rPr>
                      <w:u w:val="none"/>
                      <w:vertAlign w:val="superscript"/>
                      <w:lang w:val="en-US"/>
                    </w:rPr>
                    <w:t>3</w:t>
                  </w:r>
                  <w:r>
                    <w:rPr>
                      <w:u w:val="none"/>
                      <w:lang w:val="en-US"/>
                    </w:rPr>
                    <w:t>）</w:t>
                  </w:r>
                </w:p>
              </w:tc>
            </w:tr>
            <w:tr w14:paraId="1F30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Align w:val="center"/>
                </w:tcPr>
                <w:p w14:paraId="32BBBA48">
                  <w:pPr>
                    <w:pStyle w:val="32"/>
                    <w:rPr>
                      <w:u w:val="none"/>
                    </w:rPr>
                  </w:pPr>
                  <w:r>
                    <w:rPr>
                      <w:u w:val="none"/>
                    </w:rPr>
                    <w:t>TSP</w:t>
                  </w:r>
                </w:p>
              </w:tc>
              <w:tc>
                <w:tcPr>
                  <w:tcW w:w="2503" w:type="dxa"/>
                  <w:vAlign w:val="center"/>
                </w:tcPr>
                <w:p w14:paraId="5AAE9E6B">
                  <w:pPr>
                    <w:pStyle w:val="32"/>
                    <w:rPr>
                      <w:u w:val="none"/>
                    </w:rPr>
                  </w:pPr>
                  <w:r>
                    <w:rPr>
                      <w:u w:val="none"/>
                    </w:rPr>
                    <w:t>24小时平均</w:t>
                  </w:r>
                </w:p>
              </w:tc>
              <w:tc>
                <w:tcPr>
                  <w:tcW w:w="2613" w:type="dxa"/>
                  <w:vAlign w:val="center"/>
                </w:tcPr>
                <w:p w14:paraId="6FC34551">
                  <w:pPr>
                    <w:pStyle w:val="32"/>
                    <w:rPr>
                      <w:u w:val="none"/>
                    </w:rPr>
                  </w:pPr>
                  <w:r>
                    <w:rPr>
                      <w:u w:val="none"/>
                    </w:rPr>
                    <w:t>300</w:t>
                  </w:r>
                </w:p>
              </w:tc>
            </w:tr>
            <w:tr w14:paraId="6099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Align w:val="center"/>
                </w:tcPr>
                <w:p w14:paraId="0DC660F2">
                  <w:pPr>
                    <w:pStyle w:val="32"/>
                    <w:rPr>
                      <w:u w:val="none"/>
                    </w:rPr>
                  </w:pPr>
                  <w:r>
                    <w:rPr>
                      <w:u w:val="none"/>
                    </w:rPr>
                    <w:t>PM10</w:t>
                  </w:r>
                </w:p>
              </w:tc>
              <w:tc>
                <w:tcPr>
                  <w:tcW w:w="2503" w:type="dxa"/>
                  <w:vAlign w:val="center"/>
                </w:tcPr>
                <w:p w14:paraId="54808083">
                  <w:pPr>
                    <w:pStyle w:val="32"/>
                    <w:rPr>
                      <w:u w:val="none"/>
                    </w:rPr>
                  </w:pPr>
                  <w:r>
                    <w:rPr>
                      <w:u w:val="none"/>
                    </w:rPr>
                    <w:t>24小时平均</w:t>
                  </w:r>
                </w:p>
              </w:tc>
              <w:tc>
                <w:tcPr>
                  <w:tcW w:w="2613" w:type="dxa"/>
                  <w:vAlign w:val="center"/>
                </w:tcPr>
                <w:p w14:paraId="5F54B179">
                  <w:pPr>
                    <w:pStyle w:val="32"/>
                    <w:rPr>
                      <w:u w:val="none"/>
                    </w:rPr>
                  </w:pPr>
                  <w:r>
                    <w:rPr>
                      <w:u w:val="none"/>
                    </w:rPr>
                    <w:t>150</w:t>
                  </w:r>
                </w:p>
              </w:tc>
            </w:tr>
            <w:tr w14:paraId="6243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Align w:val="center"/>
                </w:tcPr>
                <w:p w14:paraId="7A13979E">
                  <w:pPr>
                    <w:pStyle w:val="32"/>
                    <w:rPr>
                      <w:u w:val="none"/>
                    </w:rPr>
                  </w:pPr>
                  <w:r>
                    <w:rPr>
                      <w:u w:val="none"/>
                    </w:rPr>
                    <w:t>PM2.5</w:t>
                  </w:r>
                </w:p>
              </w:tc>
              <w:tc>
                <w:tcPr>
                  <w:tcW w:w="2503" w:type="dxa"/>
                  <w:vAlign w:val="center"/>
                </w:tcPr>
                <w:p w14:paraId="0ADD52BF">
                  <w:pPr>
                    <w:pStyle w:val="32"/>
                    <w:rPr>
                      <w:u w:val="none"/>
                    </w:rPr>
                  </w:pPr>
                  <w:r>
                    <w:rPr>
                      <w:u w:val="none"/>
                    </w:rPr>
                    <w:t>24小时平均</w:t>
                  </w:r>
                </w:p>
              </w:tc>
              <w:tc>
                <w:tcPr>
                  <w:tcW w:w="2613" w:type="dxa"/>
                  <w:vAlign w:val="center"/>
                </w:tcPr>
                <w:p w14:paraId="299CE5F4">
                  <w:pPr>
                    <w:pStyle w:val="32"/>
                    <w:rPr>
                      <w:u w:val="none"/>
                    </w:rPr>
                  </w:pPr>
                  <w:r>
                    <w:rPr>
                      <w:u w:val="none"/>
                    </w:rPr>
                    <w:t>75</w:t>
                  </w:r>
                </w:p>
              </w:tc>
            </w:tr>
            <w:tr w14:paraId="2E9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restart"/>
                  <w:vAlign w:val="center"/>
                </w:tcPr>
                <w:p w14:paraId="16758DF8">
                  <w:pPr>
                    <w:pStyle w:val="32"/>
                    <w:rPr>
                      <w:u w:val="none"/>
                    </w:rPr>
                  </w:pPr>
                  <w:r>
                    <w:rPr>
                      <w:u w:val="none"/>
                    </w:rPr>
                    <w:t>SO2</w:t>
                  </w:r>
                </w:p>
              </w:tc>
              <w:tc>
                <w:tcPr>
                  <w:tcW w:w="2503" w:type="dxa"/>
                  <w:vAlign w:val="center"/>
                </w:tcPr>
                <w:p w14:paraId="0818DD03">
                  <w:pPr>
                    <w:pStyle w:val="32"/>
                    <w:rPr>
                      <w:u w:val="none"/>
                    </w:rPr>
                  </w:pPr>
                  <w:r>
                    <w:rPr>
                      <w:u w:val="none"/>
                    </w:rPr>
                    <w:t>1小时平均</w:t>
                  </w:r>
                </w:p>
              </w:tc>
              <w:tc>
                <w:tcPr>
                  <w:tcW w:w="2613" w:type="dxa"/>
                  <w:vAlign w:val="center"/>
                </w:tcPr>
                <w:p w14:paraId="759101E8">
                  <w:pPr>
                    <w:pStyle w:val="32"/>
                    <w:rPr>
                      <w:u w:val="none"/>
                    </w:rPr>
                  </w:pPr>
                  <w:r>
                    <w:rPr>
                      <w:u w:val="none"/>
                    </w:rPr>
                    <w:t>500</w:t>
                  </w:r>
                </w:p>
              </w:tc>
            </w:tr>
            <w:tr w14:paraId="255A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continue"/>
                  <w:vAlign w:val="center"/>
                </w:tcPr>
                <w:p w14:paraId="1B92D77E">
                  <w:pPr>
                    <w:pStyle w:val="32"/>
                    <w:rPr>
                      <w:u w:val="none"/>
                    </w:rPr>
                  </w:pPr>
                </w:p>
              </w:tc>
              <w:tc>
                <w:tcPr>
                  <w:tcW w:w="2503" w:type="dxa"/>
                  <w:vAlign w:val="center"/>
                </w:tcPr>
                <w:p w14:paraId="627F9A16">
                  <w:pPr>
                    <w:pStyle w:val="32"/>
                    <w:rPr>
                      <w:u w:val="none"/>
                    </w:rPr>
                  </w:pPr>
                  <w:r>
                    <w:rPr>
                      <w:u w:val="none"/>
                    </w:rPr>
                    <w:t>24小时平均</w:t>
                  </w:r>
                </w:p>
              </w:tc>
              <w:tc>
                <w:tcPr>
                  <w:tcW w:w="2613" w:type="dxa"/>
                  <w:vAlign w:val="center"/>
                </w:tcPr>
                <w:p w14:paraId="24FA2999">
                  <w:pPr>
                    <w:pStyle w:val="32"/>
                    <w:rPr>
                      <w:u w:val="none"/>
                    </w:rPr>
                  </w:pPr>
                  <w:r>
                    <w:rPr>
                      <w:u w:val="none"/>
                    </w:rPr>
                    <w:t>150</w:t>
                  </w:r>
                </w:p>
              </w:tc>
            </w:tr>
            <w:tr w14:paraId="493E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restart"/>
                  <w:vAlign w:val="center"/>
                </w:tcPr>
                <w:p w14:paraId="5567910C">
                  <w:pPr>
                    <w:pStyle w:val="32"/>
                    <w:rPr>
                      <w:u w:val="none"/>
                    </w:rPr>
                  </w:pPr>
                  <w:r>
                    <w:rPr>
                      <w:u w:val="none"/>
                    </w:rPr>
                    <w:t>NO2</w:t>
                  </w:r>
                </w:p>
              </w:tc>
              <w:tc>
                <w:tcPr>
                  <w:tcW w:w="2503" w:type="dxa"/>
                  <w:vAlign w:val="center"/>
                </w:tcPr>
                <w:p w14:paraId="53772698">
                  <w:pPr>
                    <w:pStyle w:val="32"/>
                    <w:rPr>
                      <w:u w:val="none"/>
                    </w:rPr>
                  </w:pPr>
                  <w:r>
                    <w:rPr>
                      <w:u w:val="none"/>
                    </w:rPr>
                    <w:t>1小时平均</w:t>
                  </w:r>
                </w:p>
              </w:tc>
              <w:tc>
                <w:tcPr>
                  <w:tcW w:w="2613" w:type="dxa"/>
                  <w:vAlign w:val="center"/>
                </w:tcPr>
                <w:p w14:paraId="1C0645D4">
                  <w:pPr>
                    <w:pStyle w:val="32"/>
                    <w:rPr>
                      <w:u w:val="none"/>
                    </w:rPr>
                  </w:pPr>
                  <w:r>
                    <w:rPr>
                      <w:u w:val="none"/>
                    </w:rPr>
                    <w:t>200</w:t>
                  </w:r>
                </w:p>
              </w:tc>
            </w:tr>
            <w:tr w14:paraId="440A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continue"/>
                  <w:vAlign w:val="center"/>
                </w:tcPr>
                <w:p w14:paraId="7A80CF40">
                  <w:pPr>
                    <w:pStyle w:val="32"/>
                    <w:rPr>
                      <w:u w:val="none"/>
                    </w:rPr>
                  </w:pPr>
                </w:p>
              </w:tc>
              <w:tc>
                <w:tcPr>
                  <w:tcW w:w="2503" w:type="dxa"/>
                  <w:vAlign w:val="center"/>
                </w:tcPr>
                <w:p w14:paraId="660C0AD0">
                  <w:pPr>
                    <w:pStyle w:val="32"/>
                    <w:rPr>
                      <w:u w:val="none"/>
                    </w:rPr>
                  </w:pPr>
                  <w:r>
                    <w:rPr>
                      <w:u w:val="none"/>
                    </w:rPr>
                    <w:t>24小时平均</w:t>
                  </w:r>
                </w:p>
              </w:tc>
              <w:tc>
                <w:tcPr>
                  <w:tcW w:w="2613" w:type="dxa"/>
                  <w:vAlign w:val="center"/>
                </w:tcPr>
                <w:p w14:paraId="4F626EB3">
                  <w:pPr>
                    <w:pStyle w:val="32"/>
                    <w:rPr>
                      <w:u w:val="none"/>
                    </w:rPr>
                  </w:pPr>
                  <w:r>
                    <w:rPr>
                      <w:u w:val="none"/>
                    </w:rPr>
                    <w:t>80</w:t>
                  </w:r>
                </w:p>
              </w:tc>
            </w:tr>
            <w:tr w14:paraId="1A4C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restart"/>
                  <w:vAlign w:val="center"/>
                </w:tcPr>
                <w:p w14:paraId="5AB4EB6B">
                  <w:pPr>
                    <w:pStyle w:val="32"/>
                    <w:rPr>
                      <w:u w:val="none"/>
                    </w:rPr>
                  </w:pPr>
                  <w:r>
                    <w:rPr>
                      <w:u w:val="none"/>
                    </w:rPr>
                    <w:t>O3</w:t>
                  </w:r>
                </w:p>
              </w:tc>
              <w:tc>
                <w:tcPr>
                  <w:tcW w:w="2503" w:type="dxa"/>
                  <w:vAlign w:val="center"/>
                </w:tcPr>
                <w:p w14:paraId="704199BD">
                  <w:pPr>
                    <w:pStyle w:val="32"/>
                    <w:rPr>
                      <w:u w:val="none"/>
                    </w:rPr>
                  </w:pPr>
                  <w:r>
                    <w:rPr>
                      <w:u w:val="none"/>
                    </w:rPr>
                    <w:t>日最大8小时平均</w:t>
                  </w:r>
                </w:p>
              </w:tc>
              <w:tc>
                <w:tcPr>
                  <w:tcW w:w="2613" w:type="dxa"/>
                  <w:vAlign w:val="center"/>
                </w:tcPr>
                <w:p w14:paraId="73D3950D">
                  <w:pPr>
                    <w:pStyle w:val="32"/>
                    <w:rPr>
                      <w:u w:val="none"/>
                    </w:rPr>
                  </w:pPr>
                  <w:r>
                    <w:rPr>
                      <w:u w:val="none"/>
                    </w:rPr>
                    <w:t>160</w:t>
                  </w:r>
                </w:p>
              </w:tc>
            </w:tr>
            <w:tr w14:paraId="0E9C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continue"/>
                  <w:vAlign w:val="center"/>
                </w:tcPr>
                <w:p w14:paraId="4F394B61">
                  <w:pPr>
                    <w:pStyle w:val="32"/>
                    <w:rPr>
                      <w:u w:val="none"/>
                    </w:rPr>
                  </w:pPr>
                </w:p>
              </w:tc>
              <w:tc>
                <w:tcPr>
                  <w:tcW w:w="2503" w:type="dxa"/>
                  <w:vAlign w:val="center"/>
                </w:tcPr>
                <w:p w14:paraId="7F7B9C8D">
                  <w:pPr>
                    <w:pStyle w:val="32"/>
                    <w:rPr>
                      <w:u w:val="none"/>
                    </w:rPr>
                  </w:pPr>
                  <w:r>
                    <w:rPr>
                      <w:u w:val="none"/>
                    </w:rPr>
                    <w:t>1小时平均</w:t>
                  </w:r>
                </w:p>
              </w:tc>
              <w:tc>
                <w:tcPr>
                  <w:tcW w:w="2613" w:type="dxa"/>
                  <w:vAlign w:val="center"/>
                </w:tcPr>
                <w:p w14:paraId="499ACFCB">
                  <w:pPr>
                    <w:pStyle w:val="32"/>
                    <w:rPr>
                      <w:u w:val="none"/>
                    </w:rPr>
                  </w:pPr>
                  <w:r>
                    <w:rPr>
                      <w:u w:val="none"/>
                    </w:rPr>
                    <w:t>200</w:t>
                  </w:r>
                </w:p>
              </w:tc>
            </w:tr>
            <w:tr w14:paraId="245D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restart"/>
                  <w:vAlign w:val="center"/>
                </w:tcPr>
                <w:p w14:paraId="6BC988AF">
                  <w:pPr>
                    <w:pStyle w:val="32"/>
                    <w:rPr>
                      <w:u w:val="none"/>
                    </w:rPr>
                  </w:pPr>
                  <w:r>
                    <w:rPr>
                      <w:u w:val="none"/>
                    </w:rPr>
                    <w:t>CO</w:t>
                  </w:r>
                </w:p>
              </w:tc>
              <w:tc>
                <w:tcPr>
                  <w:tcW w:w="2503" w:type="dxa"/>
                  <w:vAlign w:val="center"/>
                </w:tcPr>
                <w:p w14:paraId="58B7DAC4">
                  <w:pPr>
                    <w:pStyle w:val="32"/>
                    <w:rPr>
                      <w:u w:val="none"/>
                    </w:rPr>
                  </w:pPr>
                  <w:r>
                    <w:rPr>
                      <w:u w:val="none"/>
                    </w:rPr>
                    <w:t>1小时平均</w:t>
                  </w:r>
                </w:p>
              </w:tc>
              <w:tc>
                <w:tcPr>
                  <w:tcW w:w="2613" w:type="dxa"/>
                  <w:vAlign w:val="center"/>
                </w:tcPr>
                <w:p w14:paraId="6F015133">
                  <w:pPr>
                    <w:pStyle w:val="32"/>
                    <w:rPr>
                      <w:u w:val="none"/>
                    </w:rPr>
                  </w:pPr>
                  <w:r>
                    <w:rPr>
                      <w:u w:val="none"/>
                    </w:rPr>
                    <w:t>10(mg/m</w:t>
                  </w:r>
                  <w:r>
                    <w:rPr>
                      <w:u w:val="none"/>
                      <w:vertAlign w:val="superscript"/>
                    </w:rPr>
                    <w:t>3</w:t>
                  </w:r>
                  <w:r>
                    <w:rPr>
                      <w:u w:val="none"/>
                    </w:rPr>
                    <w:t>)</w:t>
                  </w:r>
                </w:p>
              </w:tc>
            </w:tr>
            <w:tr w14:paraId="3F2E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2" w:type="dxa"/>
                  <w:vMerge w:val="continue"/>
                  <w:vAlign w:val="center"/>
                </w:tcPr>
                <w:p w14:paraId="1589C557">
                  <w:pPr>
                    <w:pStyle w:val="32"/>
                    <w:rPr>
                      <w:u w:val="none"/>
                    </w:rPr>
                  </w:pPr>
                </w:p>
              </w:tc>
              <w:tc>
                <w:tcPr>
                  <w:tcW w:w="2503" w:type="dxa"/>
                  <w:vAlign w:val="center"/>
                </w:tcPr>
                <w:p w14:paraId="6AA52BF5">
                  <w:pPr>
                    <w:pStyle w:val="32"/>
                    <w:rPr>
                      <w:u w:val="none"/>
                    </w:rPr>
                  </w:pPr>
                  <w:r>
                    <w:rPr>
                      <w:u w:val="none"/>
                    </w:rPr>
                    <w:t>24小时平均</w:t>
                  </w:r>
                </w:p>
              </w:tc>
              <w:tc>
                <w:tcPr>
                  <w:tcW w:w="2613" w:type="dxa"/>
                  <w:vAlign w:val="center"/>
                </w:tcPr>
                <w:p w14:paraId="4201BB4E">
                  <w:pPr>
                    <w:pStyle w:val="32"/>
                    <w:rPr>
                      <w:u w:val="none"/>
                    </w:rPr>
                  </w:pPr>
                  <w:r>
                    <w:rPr>
                      <w:u w:val="none"/>
                    </w:rPr>
                    <w:t>4(mg/m</w:t>
                  </w:r>
                  <w:r>
                    <w:rPr>
                      <w:u w:val="none"/>
                      <w:vertAlign w:val="superscript"/>
                    </w:rPr>
                    <w:t>3</w:t>
                  </w:r>
                  <w:r>
                    <w:rPr>
                      <w:u w:val="none"/>
                    </w:rPr>
                    <w:t>)</w:t>
                  </w:r>
                </w:p>
              </w:tc>
            </w:tr>
          </w:tbl>
          <w:p w14:paraId="79F1DC1B">
            <w:pPr>
              <w:rPr>
                <w:u w:val="none"/>
              </w:rPr>
            </w:pPr>
            <w:r>
              <w:rPr>
                <w:rFonts w:hint="eastAsia"/>
                <w:u w:val="none"/>
                <w:lang w:eastAsia="zh-CN"/>
              </w:rPr>
              <w:t>3.11</w:t>
            </w:r>
            <w:r>
              <w:rPr>
                <w:u w:val="none"/>
              </w:rPr>
              <w:t>.2声环境</w:t>
            </w:r>
          </w:p>
          <w:p w14:paraId="6D921DB8">
            <w:pPr>
              <w:ind w:firstLine="480" w:firstLineChars="200"/>
              <w:rPr>
                <w:highlight w:val="none"/>
                <w:u w:val="none"/>
              </w:rPr>
            </w:pPr>
            <w:r>
              <w:rPr>
                <w:rFonts w:hint="eastAsia"/>
                <w:highlight w:val="none"/>
                <w:u w:val="none"/>
                <w:lang w:val="en-US" w:eastAsia="zh-CN"/>
              </w:rPr>
              <w:t>根据2009年11月，柳州市阳和工业新区规划建设环保局《关于广西电网公司220kV社湾变电工程建设项目环境影响报告表的批复》（阳管规字〔2009〕48号）和</w:t>
            </w:r>
            <w:r>
              <w:rPr>
                <w:rFonts w:hint="eastAsia"/>
                <w:u w:val="none"/>
                <w:lang w:val="en-US" w:eastAsia="zh-CN"/>
              </w:rPr>
              <w:t>2013年10月，原柳州市环境保护局《关于220kV果山变电站扩建工程建设项目环境影响报告表的批复》（柳环审字〔2013〕188号）变电站厂界执行</w:t>
            </w:r>
            <w:r>
              <w:rPr>
                <w:highlight w:val="none"/>
                <w:u w:val="none"/>
              </w:rPr>
              <w:t>《声环境质量标准》（GB3096-2008）</w:t>
            </w:r>
            <w:r>
              <w:rPr>
                <w:rFonts w:hint="eastAsia"/>
                <w:u w:val="none"/>
                <w:lang w:val="en-US" w:eastAsia="zh-CN"/>
              </w:rPr>
              <w:t>2类标准</w:t>
            </w:r>
            <w:r>
              <w:rPr>
                <w:rFonts w:hint="eastAsia"/>
                <w:highlight w:val="none"/>
                <w:u w:val="none"/>
                <w:lang w:val="en-US" w:eastAsia="zh-CN"/>
              </w:rPr>
              <w:t>。本次环评依据</w:t>
            </w:r>
            <w:r>
              <w:rPr>
                <w:rFonts w:hint="eastAsia"/>
                <w:highlight w:val="none"/>
                <w:u w:val="none"/>
              </w:rPr>
              <w:t>柳州市人民政府关于印发《柳州市城市区域声环境功能区划分调整方案》的通知</w:t>
            </w:r>
            <w:r>
              <w:rPr>
                <w:rFonts w:hint="eastAsia"/>
                <w:highlight w:val="none"/>
                <w:u w:val="none"/>
                <w:lang w:eastAsia="zh-CN"/>
              </w:rPr>
              <w:t>（</w:t>
            </w:r>
            <w:r>
              <w:rPr>
                <w:rFonts w:hint="eastAsia"/>
                <w:highlight w:val="none"/>
                <w:u w:val="none"/>
              </w:rPr>
              <w:t>柳政规〔2023〕10号</w:t>
            </w:r>
            <w:r>
              <w:rPr>
                <w:rFonts w:hint="eastAsia"/>
                <w:highlight w:val="none"/>
                <w:u w:val="none"/>
                <w:lang w:eastAsia="zh-CN"/>
              </w:rPr>
              <w:t>），</w:t>
            </w:r>
            <w:r>
              <w:rPr>
                <w:rFonts w:hint="eastAsia"/>
                <w:highlight w:val="none"/>
                <w:u w:val="none"/>
                <w:lang w:val="en-US" w:eastAsia="zh-CN"/>
              </w:rPr>
              <w:t>以及《阳和工业新区产业发展规划(2021-2025年)环境影响报告书》及其审查意见：</w:t>
            </w:r>
            <w:r>
              <w:rPr>
                <w:rFonts w:hint="eastAsia"/>
                <w:highlight w:val="none"/>
                <w:u w:val="none"/>
                <w:lang w:eastAsia="zh-CN"/>
              </w:rPr>
              <w:t>沿江片区阳和大道东部、东部片大部，阳</w:t>
            </w:r>
            <w:r>
              <w:rPr>
                <w:rFonts w:hint="eastAsia"/>
                <w:highlight w:val="none"/>
                <w:u w:val="none"/>
                <w:lang w:val="en-US" w:eastAsia="zh-CN"/>
              </w:rPr>
              <w:t>和</w:t>
            </w:r>
            <w:r>
              <w:rPr>
                <w:rFonts w:hint="eastAsia"/>
                <w:highlight w:val="none"/>
                <w:u w:val="none"/>
                <w:lang w:eastAsia="zh-CN"/>
              </w:rPr>
              <w:t>大道以西的阳和北路两侧地块执行声环境3类标准。</w:t>
            </w:r>
            <w:r>
              <w:rPr>
                <w:rFonts w:hint="eastAsia"/>
                <w:highlight w:val="none"/>
                <w:u w:val="none"/>
                <w:lang w:val="en-US" w:eastAsia="zh-CN"/>
              </w:rPr>
              <w:t>因此，本工程位于3类声环境功能区，</w:t>
            </w:r>
            <w:r>
              <w:rPr>
                <w:highlight w:val="none"/>
                <w:u w:val="none"/>
              </w:rPr>
              <w:t>应执行《声环境质量标准》（GB3096-2008）</w:t>
            </w:r>
            <w:r>
              <w:rPr>
                <w:rFonts w:hint="eastAsia"/>
                <w:highlight w:val="none"/>
                <w:u w:val="none"/>
                <w:lang w:val="en-US" w:eastAsia="zh-CN"/>
              </w:rPr>
              <w:t>3</w:t>
            </w:r>
            <w:r>
              <w:rPr>
                <w:highlight w:val="none"/>
                <w:u w:val="none"/>
              </w:rPr>
              <w:t>类标准。标准限值详见</w:t>
            </w:r>
            <w:r>
              <w:rPr>
                <w:highlight w:val="none"/>
                <w:u w:val="none"/>
              </w:rPr>
              <w:fldChar w:fldCharType="begin"/>
            </w:r>
            <w:r>
              <w:rPr>
                <w:highlight w:val="none"/>
                <w:u w:val="none"/>
              </w:rPr>
              <w:instrText xml:space="preserve"> REF _Ref425413286 \h  \* MERGEFORMAT </w:instrText>
            </w:r>
            <w:r>
              <w:rPr>
                <w:highlight w:val="none"/>
                <w:u w:val="none"/>
              </w:rPr>
              <w:fldChar w:fldCharType="separate"/>
            </w:r>
            <w:r>
              <w:rPr>
                <w:highlight w:val="none"/>
                <w:u w:val="none"/>
              </w:rPr>
              <w:t>表</w:t>
            </w:r>
            <w:r>
              <w:rPr>
                <w:highlight w:val="none"/>
                <w:u w:val="none"/>
              </w:rPr>
              <w:fldChar w:fldCharType="end"/>
            </w:r>
            <w:r>
              <w:rPr>
                <w:rFonts w:hint="eastAsia"/>
                <w:highlight w:val="none"/>
                <w:u w:val="none"/>
                <w:lang w:eastAsia="zh-CN"/>
              </w:rPr>
              <w:t>3.11</w:t>
            </w:r>
            <w:r>
              <w:rPr>
                <w:highlight w:val="none"/>
                <w:u w:val="none"/>
              </w:rPr>
              <w:t>-2。</w:t>
            </w:r>
          </w:p>
          <w:p w14:paraId="24696AD8">
            <w:pPr>
              <w:pStyle w:val="30"/>
              <w:spacing w:before="72" w:after="120"/>
              <w:rPr>
                <w:u w:val="none"/>
              </w:rPr>
            </w:pPr>
            <w:bookmarkStart w:id="26" w:name="_Ref425413286"/>
            <w:r>
              <w:rPr>
                <w:u w:val="none"/>
              </w:rPr>
              <w:t>表</w:t>
            </w:r>
            <w:bookmarkEnd w:id="26"/>
            <w:r>
              <w:rPr>
                <w:rFonts w:hint="eastAsia"/>
                <w:u w:val="none"/>
                <w:lang w:eastAsia="zh-CN"/>
              </w:rPr>
              <w:t>3.11</w:t>
            </w:r>
            <w:r>
              <w:rPr>
                <w:u w:val="none"/>
              </w:rPr>
              <w:t>-2声环境质量标准限值单位：dB（A）</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846"/>
              <w:gridCol w:w="1848"/>
              <w:gridCol w:w="3017"/>
            </w:tblGrid>
            <w:tr w14:paraId="1DE7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93" w:type="dxa"/>
                  <w:vMerge w:val="restart"/>
                  <w:vAlign w:val="center"/>
                </w:tcPr>
                <w:p w14:paraId="0CB89DAA">
                  <w:pPr>
                    <w:pStyle w:val="31"/>
                    <w:rPr>
                      <w:u w:val="none"/>
                    </w:rPr>
                  </w:pPr>
                  <w:r>
                    <w:rPr>
                      <w:u w:val="none"/>
                    </w:rPr>
                    <w:t>类别</w:t>
                  </w:r>
                </w:p>
              </w:tc>
              <w:tc>
                <w:tcPr>
                  <w:tcW w:w="3942" w:type="dxa"/>
                  <w:gridSpan w:val="2"/>
                  <w:vAlign w:val="center"/>
                </w:tcPr>
                <w:p w14:paraId="55EB5F93">
                  <w:pPr>
                    <w:pStyle w:val="31"/>
                    <w:rPr>
                      <w:u w:val="none"/>
                    </w:rPr>
                  </w:pPr>
                  <w:r>
                    <w:rPr>
                      <w:u w:val="none"/>
                    </w:rPr>
                    <w:t>标准限值</w:t>
                  </w:r>
                </w:p>
              </w:tc>
              <w:tc>
                <w:tcPr>
                  <w:tcW w:w="3244" w:type="dxa"/>
                  <w:vMerge w:val="restart"/>
                  <w:vAlign w:val="center"/>
                </w:tcPr>
                <w:p w14:paraId="6D91C43E">
                  <w:pPr>
                    <w:pStyle w:val="31"/>
                    <w:rPr>
                      <w:u w:val="none"/>
                    </w:rPr>
                  </w:pPr>
                  <w:r>
                    <w:rPr>
                      <w:u w:val="none"/>
                    </w:rPr>
                    <w:t>适用范围</w:t>
                  </w:r>
                </w:p>
              </w:tc>
            </w:tr>
            <w:tr w14:paraId="1026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93" w:type="dxa"/>
                  <w:vMerge w:val="continue"/>
                  <w:vAlign w:val="center"/>
                </w:tcPr>
                <w:p w14:paraId="759D1F2E">
                  <w:pPr>
                    <w:pStyle w:val="31"/>
                    <w:rPr>
                      <w:u w:val="none"/>
                    </w:rPr>
                  </w:pPr>
                </w:p>
              </w:tc>
              <w:tc>
                <w:tcPr>
                  <w:tcW w:w="1970" w:type="dxa"/>
                  <w:vAlign w:val="center"/>
                </w:tcPr>
                <w:p w14:paraId="5CD60023">
                  <w:pPr>
                    <w:pStyle w:val="31"/>
                    <w:rPr>
                      <w:u w:val="none"/>
                    </w:rPr>
                  </w:pPr>
                  <w:r>
                    <w:rPr>
                      <w:u w:val="none"/>
                    </w:rPr>
                    <w:t>昼间</w:t>
                  </w:r>
                </w:p>
              </w:tc>
              <w:tc>
                <w:tcPr>
                  <w:tcW w:w="1972" w:type="dxa"/>
                  <w:vAlign w:val="center"/>
                </w:tcPr>
                <w:p w14:paraId="45EA8315">
                  <w:pPr>
                    <w:pStyle w:val="31"/>
                    <w:rPr>
                      <w:u w:val="none"/>
                    </w:rPr>
                  </w:pPr>
                  <w:r>
                    <w:rPr>
                      <w:u w:val="none"/>
                    </w:rPr>
                    <w:t>夜间</w:t>
                  </w:r>
                </w:p>
              </w:tc>
              <w:tc>
                <w:tcPr>
                  <w:tcW w:w="3244" w:type="dxa"/>
                  <w:vMerge w:val="continue"/>
                  <w:vAlign w:val="center"/>
                </w:tcPr>
                <w:p w14:paraId="79991BCF">
                  <w:pPr>
                    <w:pStyle w:val="32"/>
                    <w:rPr>
                      <w:u w:val="none"/>
                      <w:lang w:eastAsia="zh-CN"/>
                    </w:rPr>
                  </w:pPr>
                </w:p>
              </w:tc>
            </w:tr>
            <w:tr w14:paraId="5AFE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vAlign w:val="center"/>
                </w:tcPr>
                <w:p w14:paraId="38B59372">
                  <w:pPr>
                    <w:pStyle w:val="32"/>
                    <w:rPr>
                      <w:u w:val="none"/>
                      <w:lang w:eastAsia="zh-CN"/>
                    </w:rPr>
                  </w:pPr>
                  <w:r>
                    <w:rPr>
                      <w:rFonts w:hint="eastAsia"/>
                      <w:u w:val="none"/>
                      <w:lang w:val="en-US" w:eastAsia="zh-CN"/>
                    </w:rPr>
                    <w:t>3</w:t>
                  </w:r>
                  <w:r>
                    <w:rPr>
                      <w:u w:val="none"/>
                      <w:lang w:eastAsia="zh-CN"/>
                    </w:rPr>
                    <w:t>类</w:t>
                  </w:r>
                </w:p>
              </w:tc>
              <w:tc>
                <w:tcPr>
                  <w:tcW w:w="1970" w:type="dxa"/>
                  <w:vAlign w:val="center"/>
                </w:tcPr>
                <w:p w14:paraId="73FCAE6F">
                  <w:pPr>
                    <w:pStyle w:val="32"/>
                    <w:rPr>
                      <w:rFonts w:hint="default"/>
                      <w:u w:val="none"/>
                      <w:lang w:val="en-US" w:eastAsia="zh-CN"/>
                    </w:rPr>
                  </w:pPr>
                  <w:r>
                    <w:rPr>
                      <w:rFonts w:hint="eastAsia"/>
                      <w:u w:val="none"/>
                      <w:lang w:val="en-US" w:eastAsia="zh-CN"/>
                    </w:rPr>
                    <w:t>65</w:t>
                  </w:r>
                </w:p>
              </w:tc>
              <w:tc>
                <w:tcPr>
                  <w:tcW w:w="1972" w:type="dxa"/>
                  <w:vAlign w:val="center"/>
                </w:tcPr>
                <w:p w14:paraId="3FCC76D3">
                  <w:pPr>
                    <w:pStyle w:val="32"/>
                    <w:rPr>
                      <w:rFonts w:hint="default"/>
                      <w:u w:val="none"/>
                      <w:lang w:val="en-US" w:eastAsia="zh-CN"/>
                    </w:rPr>
                  </w:pPr>
                  <w:r>
                    <w:rPr>
                      <w:rFonts w:hint="eastAsia"/>
                      <w:u w:val="none"/>
                      <w:lang w:val="en-US" w:eastAsia="zh-CN"/>
                    </w:rPr>
                    <w:t>55</w:t>
                  </w:r>
                </w:p>
              </w:tc>
              <w:tc>
                <w:tcPr>
                  <w:tcW w:w="3244" w:type="dxa"/>
                  <w:vAlign w:val="center"/>
                </w:tcPr>
                <w:p w14:paraId="4933F1DC">
                  <w:pPr>
                    <w:pStyle w:val="32"/>
                    <w:rPr>
                      <w:u w:val="none"/>
                      <w:lang w:eastAsia="zh-CN"/>
                    </w:rPr>
                  </w:pPr>
                  <w:r>
                    <w:rPr>
                      <w:rFonts w:hint="eastAsia"/>
                      <w:u w:val="none"/>
                      <w:lang w:val="en-US" w:eastAsia="zh-CN"/>
                    </w:rPr>
                    <w:t>/</w:t>
                  </w:r>
                </w:p>
              </w:tc>
            </w:tr>
          </w:tbl>
          <w:p w14:paraId="52F02237">
            <w:pPr>
              <w:pStyle w:val="13"/>
              <w:ind w:firstLine="360"/>
              <w:rPr>
                <w:u w:val="none"/>
              </w:rPr>
            </w:pPr>
          </w:p>
          <w:p w14:paraId="13D74C28">
            <w:pPr>
              <w:keepNext/>
              <w:adjustRightInd w:val="0"/>
              <w:snapToGrid w:val="0"/>
              <w:rPr>
                <w:u w:val="none"/>
              </w:rPr>
            </w:pPr>
            <w:r>
              <w:rPr>
                <w:rFonts w:hint="eastAsia"/>
                <w:u w:val="none"/>
                <w:lang w:eastAsia="zh-CN"/>
              </w:rPr>
              <w:t>3.11</w:t>
            </w:r>
            <w:r>
              <w:rPr>
                <w:u w:val="none"/>
              </w:rPr>
              <w:t>.3电磁环境</w:t>
            </w:r>
          </w:p>
          <w:p w14:paraId="033BDFCE">
            <w:pPr>
              <w:keepNext/>
              <w:adjustRightInd w:val="0"/>
              <w:snapToGrid w:val="0"/>
              <w:ind w:firstLine="480" w:firstLineChars="200"/>
              <w:rPr>
                <w:u w:val="none"/>
              </w:rPr>
            </w:pPr>
            <w:r>
              <w:rPr>
                <w:u w:val="none"/>
              </w:rPr>
              <w:t>按照《电磁环境控制限值》（GB8702-2014）中的有关规定，本项目电磁环境标准限值详见表</w:t>
            </w:r>
            <w:r>
              <w:rPr>
                <w:rFonts w:hint="eastAsia"/>
                <w:u w:val="none"/>
                <w:lang w:eastAsia="zh-CN"/>
              </w:rPr>
              <w:t>3.11</w:t>
            </w:r>
            <w:r>
              <w:rPr>
                <w:u w:val="none"/>
              </w:rPr>
              <w:t>-</w:t>
            </w:r>
            <w:r>
              <w:rPr>
                <w:rFonts w:hint="eastAsia"/>
                <w:u w:val="none"/>
              </w:rPr>
              <w:t>3</w:t>
            </w:r>
            <w:r>
              <w:rPr>
                <w:u w:val="none"/>
              </w:rPr>
              <w:t>。</w:t>
            </w:r>
          </w:p>
          <w:p w14:paraId="172C5794">
            <w:pPr>
              <w:pStyle w:val="30"/>
              <w:spacing w:before="72" w:after="120"/>
              <w:rPr>
                <w:u w:val="none"/>
              </w:rPr>
            </w:pPr>
            <w:r>
              <w:rPr>
                <w:u w:val="none"/>
              </w:rPr>
              <w:t>表</w:t>
            </w:r>
            <w:r>
              <w:rPr>
                <w:rFonts w:hint="eastAsia"/>
                <w:u w:val="none"/>
                <w:lang w:eastAsia="zh-CN"/>
              </w:rPr>
              <w:t>3.11</w:t>
            </w:r>
            <w:r>
              <w:rPr>
                <w:u w:val="none"/>
              </w:rPr>
              <w:t>-</w:t>
            </w:r>
            <w:r>
              <w:rPr>
                <w:rFonts w:hint="eastAsia"/>
                <w:u w:val="none"/>
              </w:rPr>
              <w:t>3</w:t>
            </w:r>
            <w:r>
              <w:rPr>
                <w:u w:val="none"/>
              </w:rPr>
              <w:t>电磁环境标准限值</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794"/>
              <w:gridCol w:w="3523"/>
            </w:tblGrid>
            <w:tr w14:paraId="2EE5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33" w:type="dxa"/>
                  <w:vAlign w:val="center"/>
                </w:tcPr>
                <w:p w14:paraId="2F401A14">
                  <w:pPr>
                    <w:pStyle w:val="30"/>
                    <w:spacing w:before="72" w:after="120"/>
                    <w:rPr>
                      <w:u w:val="none"/>
                    </w:rPr>
                  </w:pPr>
                  <w:r>
                    <w:rPr>
                      <w:u w:val="none"/>
                    </w:rPr>
                    <w:t>项目</w:t>
                  </w:r>
                </w:p>
              </w:tc>
              <w:tc>
                <w:tcPr>
                  <w:tcW w:w="2973" w:type="dxa"/>
                  <w:vAlign w:val="center"/>
                </w:tcPr>
                <w:p w14:paraId="08D7FB8A">
                  <w:pPr>
                    <w:pStyle w:val="30"/>
                    <w:spacing w:before="72" w:after="120"/>
                    <w:rPr>
                      <w:u w:val="none"/>
                    </w:rPr>
                  </w:pPr>
                  <w:r>
                    <w:rPr>
                      <w:u w:val="none"/>
                    </w:rPr>
                    <w:t>标准限值</w:t>
                  </w:r>
                </w:p>
              </w:tc>
              <w:tc>
                <w:tcPr>
                  <w:tcW w:w="3692" w:type="dxa"/>
                  <w:vAlign w:val="center"/>
                </w:tcPr>
                <w:p w14:paraId="26D6210B">
                  <w:pPr>
                    <w:pStyle w:val="30"/>
                    <w:spacing w:before="72" w:after="120"/>
                    <w:rPr>
                      <w:u w:val="none"/>
                    </w:rPr>
                  </w:pPr>
                  <w:r>
                    <w:rPr>
                      <w:u w:val="none"/>
                    </w:rPr>
                    <w:t>标准来源</w:t>
                  </w:r>
                </w:p>
              </w:tc>
            </w:tr>
            <w:tr w14:paraId="3E1D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33" w:type="dxa"/>
                  <w:vAlign w:val="center"/>
                </w:tcPr>
                <w:p w14:paraId="21105739">
                  <w:pPr>
                    <w:pStyle w:val="32"/>
                    <w:rPr>
                      <w:u w:val="none"/>
                    </w:rPr>
                  </w:pPr>
                  <w:r>
                    <w:rPr>
                      <w:u w:val="none"/>
                    </w:rPr>
                    <w:t>工频电场</w:t>
                  </w:r>
                </w:p>
              </w:tc>
              <w:tc>
                <w:tcPr>
                  <w:tcW w:w="2973" w:type="dxa"/>
                  <w:vAlign w:val="center"/>
                </w:tcPr>
                <w:p w14:paraId="0E3DBB25">
                  <w:pPr>
                    <w:pStyle w:val="32"/>
                    <w:rPr>
                      <w:u w:val="none"/>
                    </w:rPr>
                  </w:pPr>
                  <w:r>
                    <w:rPr>
                      <w:u w:val="none"/>
                    </w:rPr>
                    <w:t>4000V/m</w:t>
                  </w:r>
                </w:p>
              </w:tc>
              <w:tc>
                <w:tcPr>
                  <w:tcW w:w="3692" w:type="dxa"/>
                  <w:vMerge w:val="restart"/>
                  <w:vAlign w:val="center"/>
                </w:tcPr>
                <w:p w14:paraId="0D76D796">
                  <w:pPr>
                    <w:pStyle w:val="32"/>
                    <w:rPr>
                      <w:u w:val="none"/>
                      <w:lang w:eastAsia="zh-CN"/>
                    </w:rPr>
                  </w:pPr>
                  <w:r>
                    <w:rPr>
                      <w:u w:val="none"/>
                      <w:lang w:eastAsia="zh-CN"/>
                    </w:rPr>
                    <w:t>《电磁环境控制限值》（GB8702-2014）</w:t>
                  </w:r>
                </w:p>
              </w:tc>
            </w:tr>
            <w:tr w14:paraId="61AD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3" w:type="dxa"/>
                  <w:vAlign w:val="center"/>
                </w:tcPr>
                <w:p w14:paraId="2FD1754A">
                  <w:pPr>
                    <w:pStyle w:val="32"/>
                    <w:rPr>
                      <w:u w:val="none"/>
                      <w:lang w:eastAsia="zh-CN"/>
                    </w:rPr>
                  </w:pPr>
                  <w:r>
                    <w:rPr>
                      <w:u w:val="none"/>
                      <w:lang w:eastAsia="zh-CN"/>
                    </w:rPr>
                    <w:t>工频磁场</w:t>
                  </w:r>
                </w:p>
              </w:tc>
              <w:tc>
                <w:tcPr>
                  <w:tcW w:w="2973" w:type="dxa"/>
                  <w:vAlign w:val="center"/>
                </w:tcPr>
                <w:p w14:paraId="1021AF96">
                  <w:pPr>
                    <w:pStyle w:val="32"/>
                    <w:rPr>
                      <w:u w:val="none"/>
                      <w:lang w:eastAsia="zh-CN"/>
                    </w:rPr>
                  </w:pPr>
                  <w:r>
                    <w:rPr>
                      <w:u w:val="none"/>
                      <w:lang w:eastAsia="zh-CN"/>
                    </w:rPr>
                    <w:t>100</w:t>
                  </w:r>
                  <w:r>
                    <w:rPr>
                      <w:u w:val="none"/>
                    </w:rPr>
                    <w:t>μ</w:t>
                  </w:r>
                  <w:r>
                    <w:rPr>
                      <w:u w:val="none"/>
                      <w:lang w:eastAsia="zh-CN"/>
                    </w:rPr>
                    <w:t>T</w:t>
                  </w:r>
                </w:p>
              </w:tc>
              <w:tc>
                <w:tcPr>
                  <w:tcW w:w="3692" w:type="dxa"/>
                  <w:vMerge w:val="continue"/>
                  <w:vAlign w:val="center"/>
                </w:tcPr>
                <w:p w14:paraId="08B4FDA3">
                  <w:pPr>
                    <w:pStyle w:val="32"/>
                    <w:rPr>
                      <w:u w:val="none"/>
                      <w:lang w:eastAsia="zh-CN"/>
                    </w:rPr>
                  </w:pPr>
                </w:p>
              </w:tc>
            </w:tr>
          </w:tbl>
          <w:p w14:paraId="00AF8D9D">
            <w:pPr>
              <w:keepNext/>
              <w:adjustRightInd w:val="0"/>
              <w:snapToGrid w:val="0"/>
              <w:rPr>
                <w:b/>
                <w:bCs/>
                <w:u w:val="none"/>
              </w:rPr>
            </w:pPr>
            <w:r>
              <w:rPr>
                <w:rFonts w:hint="eastAsia"/>
                <w:b/>
                <w:bCs/>
                <w:u w:val="none"/>
                <w:lang w:eastAsia="zh-CN"/>
              </w:rPr>
              <w:t>3.12</w:t>
            </w:r>
            <w:r>
              <w:rPr>
                <w:b/>
                <w:bCs/>
                <w:u w:val="none"/>
              </w:rPr>
              <w:t>污染物排放标准</w:t>
            </w:r>
          </w:p>
          <w:p w14:paraId="35705F09">
            <w:pPr>
              <w:keepNext/>
              <w:adjustRightInd w:val="0"/>
              <w:snapToGrid w:val="0"/>
              <w:rPr>
                <w:u w:val="none"/>
              </w:rPr>
            </w:pPr>
            <w:r>
              <w:rPr>
                <w:rFonts w:hint="eastAsia"/>
                <w:u w:val="none"/>
                <w:lang w:eastAsia="zh-CN"/>
              </w:rPr>
              <w:t>3.12</w:t>
            </w:r>
            <w:r>
              <w:rPr>
                <w:u w:val="none"/>
              </w:rPr>
              <w:t>.1噪声</w:t>
            </w:r>
          </w:p>
          <w:p w14:paraId="7BE7612C">
            <w:pPr>
              <w:adjustRightInd w:val="0"/>
              <w:snapToGrid w:val="0"/>
              <w:ind w:firstLine="480"/>
              <w:rPr>
                <w:u w:val="none"/>
              </w:rPr>
            </w:pPr>
            <w:r>
              <w:rPr>
                <w:u w:val="none"/>
              </w:rPr>
              <w:t>施工期间噪声执行《建筑施工场界环境噪声排放标准》（GB12523－2011）中的有关标准见表</w:t>
            </w:r>
            <w:r>
              <w:rPr>
                <w:rFonts w:hint="eastAsia"/>
                <w:u w:val="none"/>
                <w:lang w:eastAsia="zh-CN"/>
              </w:rPr>
              <w:t>3.12</w:t>
            </w:r>
            <w:r>
              <w:rPr>
                <w:u w:val="none"/>
              </w:rPr>
              <w:t>-1。</w:t>
            </w:r>
          </w:p>
          <w:p w14:paraId="61861E57">
            <w:pPr>
              <w:pStyle w:val="30"/>
              <w:spacing w:before="72" w:after="120"/>
              <w:rPr>
                <w:u w:val="none"/>
              </w:rPr>
            </w:pPr>
            <w:r>
              <w:rPr>
                <w:u w:val="none"/>
              </w:rPr>
              <w:t>表</w:t>
            </w:r>
            <w:r>
              <w:rPr>
                <w:rFonts w:hint="eastAsia"/>
                <w:u w:val="none"/>
                <w:lang w:eastAsia="zh-CN"/>
              </w:rPr>
              <w:t>3.12</w:t>
            </w:r>
            <w:r>
              <w:rPr>
                <w:u w:val="none"/>
              </w:rPr>
              <w:t>-1建筑施工场界环境噪声排放限值单位：dB（A）</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2576"/>
              <w:gridCol w:w="2576"/>
            </w:tblGrid>
            <w:tr w14:paraId="14E2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0" w:type="dxa"/>
                  <w:vAlign w:val="center"/>
                </w:tcPr>
                <w:p w14:paraId="24A2FCA0">
                  <w:pPr>
                    <w:pStyle w:val="31"/>
                    <w:rPr>
                      <w:u w:val="none"/>
                    </w:rPr>
                  </w:pPr>
                  <w:r>
                    <w:rPr>
                      <w:u w:val="none"/>
                    </w:rPr>
                    <w:t>执行时段</w:t>
                  </w:r>
                </w:p>
              </w:tc>
              <w:tc>
                <w:tcPr>
                  <w:tcW w:w="2713" w:type="dxa"/>
                  <w:vAlign w:val="center"/>
                </w:tcPr>
                <w:p w14:paraId="603C2233">
                  <w:pPr>
                    <w:pStyle w:val="31"/>
                    <w:rPr>
                      <w:u w:val="none"/>
                    </w:rPr>
                  </w:pPr>
                  <w:r>
                    <w:rPr>
                      <w:u w:val="none"/>
                    </w:rPr>
                    <w:t>昼间</w:t>
                  </w:r>
                </w:p>
              </w:tc>
              <w:tc>
                <w:tcPr>
                  <w:tcW w:w="2713" w:type="dxa"/>
                  <w:vAlign w:val="center"/>
                </w:tcPr>
                <w:p w14:paraId="08437862">
                  <w:pPr>
                    <w:pStyle w:val="31"/>
                    <w:rPr>
                      <w:u w:val="none"/>
                    </w:rPr>
                  </w:pPr>
                  <w:r>
                    <w:rPr>
                      <w:u w:val="none"/>
                    </w:rPr>
                    <w:t>夜间</w:t>
                  </w:r>
                </w:p>
              </w:tc>
            </w:tr>
            <w:tr w14:paraId="1FB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0" w:type="dxa"/>
                  <w:vAlign w:val="center"/>
                </w:tcPr>
                <w:p w14:paraId="7A113862">
                  <w:pPr>
                    <w:pStyle w:val="32"/>
                    <w:rPr>
                      <w:u w:val="none"/>
                      <w:lang w:eastAsia="zh-CN"/>
                    </w:rPr>
                  </w:pPr>
                  <w:r>
                    <w:rPr>
                      <w:u w:val="none"/>
                      <w:lang w:eastAsia="zh-CN"/>
                    </w:rPr>
                    <w:t>标准限值</w:t>
                  </w:r>
                </w:p>
              </w:tc>
              <w:tc>
                <w:tcPr>
                  <w:tcW w:w="2713" w:type="dxa"/>
                  <w:vAlign w:val="center"/>
                </w:tcPr>
                <w:p w14:paraId="3F2537DA">
                  <w:pPr>
                    <w:pStyle w:val="32"/>
                    <w:rPr>
                      <w:u w:val="none"/>
                      <w:lang w:eastAsia="zh-CN"/>
                    </w:rPr>
                  </w:pPr>
                  <w:r>
                    <w:rPr>
                      <w:u w:val="none"/>
                      <w:lang w:eastAsia="zh-CN"/>
                    </w:rPr>
                    <w:t>70</w:t>
                  </w:r>
                </w:p>
              </w:tc>
              <w:tc>
                <w:tcPr>
                  <w:tcW w:w="2713" w:type="dxa"/>
                  <w:vAlign w:val="center"/>
                </w:tcPr>
                <w:p w14:paraId="125A9C11">
                  <w:pPr>
                    <w:pStyle w:val="32"/>
                    <w:rPr>
                      <w:u w:val="none"/>
                      <w:lang w:eastAsia="zh-CN"/>
                    </w:rPr>
                  </w:pPr>
                  <w:r>
                    <w:rPr>
                      <w:u w:val="none"/>
                      <w:lang w:eastAsia="zh-CN"/>
                    </w:rPr>
                    <w:t>55</w:t>
                  </w:r>
                </w:p>
              </w:tc>
            </w:tr>
          </w:tbl>
          <w:p w14:paraId="28804AC5">
            <w:pPr>
              <w:keepNext/>
              <w:ind w:firstLine="480"/>
              <w:rPr>
                <w:highlight w:val="none"/>
                <w:u w:val="none"/>
              </w:rPr>
            </w:pPr>
            <w:r>
              <w:rPr>
                <w:rFonts w:hint="eastAsia"/>
                <w:highlight w:val="none"/>
                <w:u w:val="none"/>
                <w:lang w:val="en-US" w:eastAsia="zh-CN"/>
              </w:rPr>
              <w:t>依据《</w:t>
            </w:r>
            <w:r>
              <w:rPr>
                <w:rFonts w:hint="eastAsia"/>
                <w:highlight w:val="none"/>
                <w:u w:val="none"/>
              </w:rPr>
              <w:t>柳州市人民政府关于印发</w:t>
            </w:r>
            <w:r>
              <w:rPr>
                <w:rFonts w:hint="eastAsia" w:ascii="宋体" w:hAnsi="宋体" w:eastAsia="宋体" w:cs="宋体"/>
                <w:highlight w:val="none"/>
                <w:u w:val="none"/>
              </w:rPr>
              <w:t>&lt;</w:t>
            </w:r>
            <w:r>
              <w:rPr>
                <w:rFonts w:hint="eastAsia"/>
                <w:highlight w:val="none"/>
                <w:u w:val="none"/>
              </w:rPr>
              <w:t>柳州市城市区域声环境功能区划分调整方案</w:t>
            </w:r>
            <w:r>
              <w:rPr>
                <w:rFonts w:hint="eastAsia" w:ascii="宋体" w:hAnsi="宋体" w:eastAsia="宋体" w:cs="宋体"/>
                <w:highlight w:val="none"/>
                <w:u w:val="none"/>
              </w:rPr>
              <w:t>&gt;</w:t>
            </w:r>
            <w:r>
              <w:rPr>
                <w:rFonts w:hint="eastAsia"/>
                <w:highlight w:val="none"/>
                <w:u w:val="none"/>
              </w:rPr>
              <w:t>的通知</w:t>
            </w:r>
            <w:r>
              <w:rPr>
                <w:rFonts w:hint="eastAsia"/>
                <w:highlight w:val="none"/>
                <w:u w:val="none"/>
                <w:lang w:eastAsia="zh-CN"/>
              </w:rPr>
              <w:t>》（</w:t>
            </w:r>
            <w:r>
              <w:rPr>
                <w:rFonts w:hint="eastAsia"/>
                <w:highlight w:val="none"/>
                <w:u w:val="none"/>
              </w:rPr>
              <w:t>柳政规〔2023〕10号</w:t>
            </w:r>
            <w:r>
              <w:rPr>
                <w:rFonts w:hint="eastAsia"/>
                <w:highlight w:val="none"/>
                <w:u w:val="none"/>
                <w:lang w:eastAsia="zh-CN"/>
              </w:rPr>
              <w:t>），</w:t>
            </w:r>
            <w:r>
              <w:rPr>
                <w:rFonts w:hint="eastAsia"/>
                <w:highlight w:val="none"/>
                <w:u w:val="none"/>
                <w:lang w:val="en-US" w:eastAsia="zh-CN"/>
              </w:rPr>
              <w:t>本工程位于3类声环境功能区，</w:t>
            </w:r>
            <w:r>
              <w:rPr>
                <w:highlight w:val="none"/>
                <w:u w:val="none"/>
              </w:rPr>
              <w:t>应执行</w:t>
            </w:r>
            <w:r>
              <w:rPr>
                <w:rFonts w:hint="eastAsia"/>
                <w:sz w:val="24"/>
                <w:highlight w:val="none"/>
              </w:rPr>
              <w:t>《工业企业厂界环境噪声排放标准》（GB12348-2008）</w:t>
            </w:r>
            <w:r>
              <w:rPr>
                <w:rFonts w:hint="eastAsia"/>
                <w:highlight w:val="none"/>
                <w:u w:val="none"/>
                <w:lang w:val="en-US" w:eastAsia="zh-CN"/>
              </w:rPr>
              <w:t>3</w:t>
            </w:r>
            <w:r>
              <w:rPr>
                <w:highlight w:val="none"/>
                <w:u w:val="none"/>
              </w:rPr>
              <w:t>类标准，见表</w:t>
            </w:r>
            <w:r>
              <w:rPr>
                <w:rFonts w:hint="eastAsia"/>
                <w:highlight w:val="none"/>
                <w:u w:val="none"/>
                <w:lang w:eastAsia="zh-CN"/>
              </w:rPr>
              <w:t>3.12</w:t>
            </w:r>
            <w:r>
              <w:rPr>
                <w:highlight w:val="none"/>
                <w:u w:val="none"/>
              </w:rPr>
              <w:t>-2。</w:t>
            </w:r>
          </w:p>
          <w:p w14:paraId="08DF5F5D">
            <w:pPr>
              <w:tabs>
                <w:tab w:val="right" w:leader="dot" w:pos="8190"/>
              </w:tabs>
              <w:jc w:val="center"/>
              <w:rPr>
                <w:u w:val="none"/>
              </w:rPr>
            </w:pPr>
            <w:r>
              <w:rPr>
                <w:u w:val="none"/>
              </w:rPr>
              <w:t>表</w:t>
            </w:r>
            <w:r>
              <w:rPr>
                <w:rFonts w:hint="eastAsia"/>
                <w:u w:val="none"/>
                <w:lang w:eastAsia="zh-CN"/>
              </w:rPr>
              <w:t>3.12</w:t>
            </w:r>
            <w:r>
              <w:rPr>
                <w:u w:val="none"/>
              </w:rPr>
              <w:t>-2工业企业厂界环境噪声排放标准限值单位：dB（A）</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3811"/>
              <w:gridCol w:w="1313"/>
              <w:gridCol w:w="1313"/>
            </w:tblGrid>
            <w:tr w14:paraId="04A3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1" w:type="dxa"/>
                  <w:vMerge w:val="restart"/>
                  <w:vAlign w:val="center"/>
                </w:tcPr>
                <w:p w14:paraId="2AF23FCC">
                  <w:pPr>
                    <w:pStyle w:val="31"/>
                    <w:rPr>
                      <w:u w:val="none"/>
                    </w:rPr>
                  </w:pPr>
                  <w:r>
                    <w:rPr>
                      <w:u w:val="none"/>
                    </w:rPr>
                    <w:t>类别</w:t>
                  </w:r>
                </w:p>
              </w:tc>
              <w:tc>
                <w:tcPr>
                  <w:tcW w:w="4149" w:type="dxa"/>
                  <w:vMerge w:val="restart"/>
                  <w:vAlign w:val="center"/>
                </w:tcPr>
                <w:p w14:paraId="67CA7AAB">
                  <w:pPr>
                    <w:pStyle w:val="31"/>
                    <w:rPr>
                      <w:u w:val="none"/>
                    </w:rPr>
                  </w:pPr>
                  <w:r>
                    <w:rPr>
                      <w:u w:val="none"/>
                    </w:rPr>
                    <w:t>适用范围</w:t>
                  </w:r>
                </w:p>
              </w:tc>
              <w:tc>
                <w:tcPr>
                  <w:tcW w:w="2802" w:type="dxa"/>
                  <w:gridSpan w:val="2"/>
                  <w:vAlign w:val="center"/>
                </w:tcPr>
                <w:p w14:paraId="52121E29">
                  <w:pPr>
                    <w:pStyle w:val="31"/>
                    <w:rPr>
                      <w:u w:val="none"/>
                    </w:rPr>
                  </w:pPr>
                  <w:r>
                    <w:rPr>
                      <w:u w:val="none"/>
                    </w:rPr>
                    <w:t>标准限值</w:t>
                  </w:r>
                </w:p>
              </w:tc>
            </w:tr>
            <w:tr w14:paraId="63E4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1" w:type="dxa"/>
                  <w:vMerge w:val="continue"/>
                  <w:vAlign w:val="center"/>
                </w:tcPr>
                <w:p w14:paraId="0F2388F2">
                  <w:pPr>
                    <w:pStyle w:val="31"/>
                    <w:rPr>
                      <w:u w:val="none"/>
                    </w:rPr>
                  </w:pPr>
                </w:p>
              </w:tc>
              <w:tc>
                <w:tcPr>
                  <w:tcW w:w="4149" w:type="dxa"/>
                  <w:vMerge w:val="continue"/>
                  <w:vAlign w:val="center"/>
                </w:tcPr>
                <w:p w14:paraId="023FB470">
                  <w:pPr>
                    <w:pStyle w:val="31"/>
                    <w:rPr>
                      <w:u w:val="none"/>
                    </w:rPr>
                  </w:pPr>
                </w:p>
              </w:tc>
              <w:tc>
                <w:tcPr>
                  <w:tcW w:w="1401" w:type="dxa"/>
                  <w:vAlign w:val="center"/>
                </w:tcPr>
                <w:p w14:paraId="5CDF367B">
                  <w:pPr>
                    <w:pStyle w:val="31"/>
                    <w:rPr>
                      <w:u w:val="none"/>
                    </w:rPr>
                  </w:pPr>
                  <w:r>
                    <w:rPr>
                      <w:u w:val="none"/>
                    </w:rPr>
                    <w:t>昼间</w:t>
                  </w:r>
                </w:p>
              </w:tc>
              <w:tc>
                <w:tcPr>
                  <w:tcW w:w="1401" w:type="dxa"/>
                  <w:vAlign w:val="center"/>
                </w:tcPr>
                <w:p w14:paraId="7AEFCE67">
                  <w:pPr>
                    <w:pStyle w:val="31"/>
                    <w:rPr>
                      <w:u w:val="none"/>
                    </w:rPr>
                  </w:pPr>
                  <w:r>
                    <w:rPr>
                      <w:u w:val="none"/>
                    </w:rPr>
                    <w:t>昼间</w:t>
                  </w:r>
                </w:p>
              </w:tc>
            </w:tr>
            <w:tr w14:paraId="4687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1" w:type="dxa"/>
                  <w:vAlign w:val="center"/>
                </w:tcPr>
                <w:p w14:paraId="5231B6B1">
                  <w:pPr>
                    <w:pStyle w:val="32"/>
                    <w:rPr>
                      <w:u w:val="none"/>
                      <w:lang w:eastAsia="zh-CN"/>
                    </w:rPr>
                  </w:pPr>
                  <w:r>
                    <w:rPr>
                      <w:rFonts w:hint="eastAsia"/>
                      <w:u w:val="none"/>
                      <w:lang w:val="en-US" w:eastAsia="zh-CN"/>
                    </w:rPr>
                    <w:t>3</w:t>
                  </w:r>
                  <w:r>
                    <w:rPr>
                      <w:u w:val="none"/>
                      <w:lang w:eastAsia="zh-CN"/>
                    </w:rPr>
                    <w:t>类</w:t>
                  </w:r>
                </w:p>
              </w:tc>
              <w:tc>
                <w:tcPr>
                  <w:tcW w:w="4149" w:type="dxa"/>
                  <w:vAlign w:val="center"/>
                </w:tcPr>
                <w:p w14:paraId="046D42AB">
                  <w:pPr>
                    <w:pStyle w:val="32"/>
                    <w:rPr>
                      <w:u w:val="none"/>
                      <w:lang w:eastAsia="zh-CN"/>
                    </w:rPr>
                  </w:pPr>
                  <w:r>
                    <w:rPr>
                      <w:rFonts w:hint="eastAsia"/>
                      <w:u w:val="none"/>
                      <w:lang w:val="en-US" w:eastAsia="zh-CN"/>
                    </w:rPr>
                    <w:t>果山</w:t>
                  </w:r>
                  <w:r>
                    <w:rPr>
                      <w:u w:val="none"/>
                      <w:lang w:eastAsia="zh-CN"/>
                    </w:rPr>
                    <w:t>变电站厂界</w:t>
                  </w:r>
                </w:p>
              </w:tc>
              <w:tc>
                <w:tcPr>
                  <w:tcW w:w="1401" w:type="dxa"/>
                  <w:vAlign w:val="center"/>
                </w:tcPr>
                <w:p w14:paraId="3BA70E33">
                  <w:pPr>
                    <w:pStyle w:val="32"/>
                    <w:rPr>
                      <w:rFonts w:hint="default"/>
                      <w:u w:val="none"/>
                      <w:lang w:val="en-US" w:eastAsia="zh-CN"/>
                    </w:rPr>
                  </w:pPr>
                  <w:r>
                    <w:rPr>
                      <w:rFonts w:hint="eastAsia"/>
                      <w:u w:val="none"/>
                      <w:lang w:val="en-US" w:eastAsia="zh-CN"/>
                    </w:rPr>
                    <w:t>65</w:t>
                  </w:r>
                </w:p>
              </w:tc>
              <w:tc>
                <w:tcPr>
                  <w:tcW w:w="1401" w:type="dxa"/>
                  <w:vAlign w:val="center"/>
                </w:tcPr>
                <w:p w14:paraId="6CDEE3A2">
                  <w:pPr>
                    <w:pStyle w:val="32"/>
                    <w:rPr>
                      <w:u w:val="none"/>
                      <w:lang w:eastAsia="zh-CN"/>
                    </w:rPr>
                  </w:pPr>
                  <w:r>
                    <w:rPr>
                      <w:u w:val="none"/>
                      <w:lang w:eastAsia="zh-CN"/>
                    </w:rPr>
                    <w:t>5</w:t>
                  </w:r>
                  <w:r>
                    <w:rPr>
                      <w:rFonts w:hint="eastAsia"/>
                      <w:u w:val="none"/>
                      <w:lang w:val="en-US" w:eastAsia="zh-CN"/>
                    </w:rPr>
                    <w:t>5</w:t>
                  </w:r>
                </w:p>
              </w:tc>
            </w:tr>
          </w:tbl>
          <w:p w14:paraId="53A1793A">
            <w:pPr>
              <w:keepNext/>
              <w:adjustRightInd w:val="0"/>
              <w:snapToGrid w:val="0"/>
              <w:rPr>
                <w:u w:val="none"/>
              </w:rPr>
            </w:pPr>
            <w:r>
              <w:rPr>
                <w:rFonts w:hint="eastAsia"/>
                <w:u w:val="none"/>
                <w:lang w:eastAsia="zh-CN"/>
              </w:rPr>
              <w:t>3.12</w:t>
            </w:r>
            <w:r>
              <w:rPr>
                <w:u w:val="none"/>
              </w:rPr>
              <w:t>.2废气</w:t>
            </w:r>
          </w:p>
          <w:p w14:paraId="1B4B7EAF">
            <w:pPr>
              <w:keepNext/>
              <w:adjustRightInd w:val="0"/>
              <w:snapToGrid w:val="0"/>
              <w:ind w:firstLine="480" w:firstLineChars="200"/>
              <w:rPr>
                <w:u w:val="none"/>
              </w:rPr>
            </w:pPr>
            <w:r>
              <w:rPr>
                <w:u w:val="none"/>
              </w:rPr>
              <w:t>施工期间扬尘执行《大气污染物综合排放标准》（GB16297-1996）中的有关标准见表</w:t>
            </w:r>
            <w:r>
              <w:rPr>
                <w:rFonts w:hint="eastAsia"/>
                <w:u w:val="none"/>
                <w:lang w:eastAsia="zh-CN"/>
              </w:rPr>
              <w:t>3.12</w:t>
            </w:r>
            <w:r>
              <w:rPr>
                <w:u w:val="none"/>
              </w:rPr>
              <w:t>-3。</w:t>
            </w:r>
          </w:p>
          <w:p w14:paraId="1D42F49A">
            <w:pPr>
              <w:pStyle w:val="30"/>
              <w:spacing w:before="72" w:after="120"/>
              <w:rPr>
                <w:u w:val="none"/>
              </w:rPr>
            </w:pPr>
            <w:r>
              <w:rPr>
                <w:u w:val="none"/>
              </w:rPr>
              <w:t>表</w:t>
            </w:r>
            <w:r>
              <w:rPr>
                <w:rFonts w:hint="eastAsia"/>
                <w:u w:val="none"/>
                <w:lang w:eastAsia="zh-CN"/>
              </w:rPr>
              <w:t>3.12</w:t>
            </w:r>
            <w:r>
              <w:rPr>
                <w:u w:val="none"/>
              </w:rPr>
              <w:t>-3大气污染物综合排放标准</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196"/>
              <w:gridCol w:w="3616"/>
            </w:tblGrid>
            <w:tr w14:paraId="7CC4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8" w:type="dxa"/>
                  <w:vAlign w:val="center"/>
                </w:tcPr>
                <w:p w14:paraId="25BCF1EF">
                  <w:pPr>
                    <w:pStyle w:val="31"/>
                    <w:rPr>
                      <w:u w:val="none"/>
                    </w:rPr>
                  </w:pPr>
                  <w:r>
                    <w:rPr>
                      <w:u w:val="none"/>
                    </w:rPr>
                    <w:t>执行区域</w:t>
                  </w:r>
                </w:p>
              </w:tc>
              <w:tc>
                <w:tcPr>
                  <w:tcW w:w="2268" w:type="dxa"/>
                  <w:vAlign w:val="center"/>
                </w:tcPr>
                <w:p w14:paraId="1F7559D3">
                  <w:pPr>
                    <w:pStyle w:val="31"/>
                    <w:rPr>
                      <w:u w:val="none"/>
                    </w:rPr>
                  </w:pPr>
                  <w:r>
                    <w:rPr>
                      <w:u w:val="none"/>
                    </w:rPr>
                    <w:t>污染物</w:t>
                  </w:r>
                </w:p>
              </w:tc>
              <w:tc>
                <w:tcPr>
                  <w:tcW w:w="3830" w:type="dxa"/>
                  <w:vAlign w:val="center"/>
                </w:tcPr>
                <w:p w14:paraId="5422E7B6">
                  <w:pPr>
                    <w:pStyle w:val="31"/>
                    <w:rPr>
                      <w:u w:val="none"/>
                    </w:rPr>
                  </w:pPr>
                  <w:r>
                    <w:rPr>
                      <w:u w:val="none"/>
                    </w:rPr>
                    <w:t>二级标准（无组织排放监控浓度限值）</w:t>
                  </w:r>
                </w:p>
              </w:tc>
            </w:tr>
            <w:tr w14:paraId="1800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8" w:type="dxa"/>
                  <w:vAlign w:val="center"/>
                </w:tcPr>
                <w:p w14:paraId="0DA29CA5">
                  <w:pPr>
                    <w:pStyle w:val="32"/>
                    <w:rPr>
                      <w:u w:val="none"/>
                      <w:lang w:eastAsia="zh-CN"/>
                    </w:rPr>
                  </w:pPr>
                  <w:r>
                    <w:rPr>
                      <w:u w:val="none"/>
                      <w:lang w:eastAsia="zh-CN"/>
                    </w:rPr>
                    <w:t>施工厂界</w:t>
                  </w:r>
                </w:p>
              </w:tc>
              <w:tc>
                <w:tcPr>
                  <w:tcW w:w="2268" w:type="dxa"/>
                  <w:vAlign w:val="center"/>
                </w:tcPr>
                <w:p w14:paraId="7CC248E7">
                  <w:pPr>
                    <w:pStyle w:val="32"/>
                    <w:rPr>
                      <w:u w:val="none"/>
                      <w:lang w:eastAsia="zh-CN"/>
                    </w:rPr>
                  </w:pPr>
                  <w:r>
                    <w:rPr>
                      <w:u w:val="none"/>
                      <w:lang w:eastAsia="zh-CN"/>
                    </w:rPr>
                    <w:t>颗粒物（mg/m</w:t>
                  </w:r>
                  <w:r>
                    <w:rPr>
                      <w:u w:val="none"/>
                      <w:vertAlign w:val="superscript"/>
                      <w:lang w:eastAsia="zh-CN"/>
                    </w:rPr>
                    <w:t>3</w:t>
                  </w:r>
                  <w:r>
                    <w:rPr>
                      <w:u w:val="none"/>
                      <w:lang w:eastAsia="zh-CN"/>
                    </w:rPr>
                    <w:t>）</w:t>
                  </w:r>
                </w:p>
              </w:tc>
              <w:tc>
                <w:tcPr>
                  <w:tcW w:w="3830" w:type="dxa"/>
                  <w:vAlign w:val="center"/>
                </w:tcPr>
                <w:p w14:paraId="5B89A4AD">
                  <w:pPr>
                    <w:pStyle w:val="32"/>
                    <w:rPr>
                      <w:u w:val="none"/>
                      <w:lang w:eastAsia="zh-CN"/>
                    </w:rPr>
                  </w:pPr>
                  <w:r>
                    <w:rPr>
                      <w:u w:val="none"/>
                      <w:lang w:eastAsia="zh-CN"/>
                    </w:rPr>
                    <w:t>1.0</w:t>
                  </w:r>
                </w:p>
              </w:tc>
            </w:tr>
          </w:tbl>
          <w:p w14:paraId="7DE7FD82">
            <w:pPr>
              <w:keepNext/>
              <w:adjustRightInd w:val="0"/>
              <w:snapToGrid w:val="0"/>
              <w:rPr>
                <w:u w:val="none"/>
              </w:rPr>
            </w:pPr>
            <w:r>
              <w:rPr>
                <w:rFonts w:hint="eastAsia"/>
                <w:u w:val="none"/>
                <w:lang w:eastAsia="zh-CN"/>
              </w:rPr>
              <w:t>3.12</w:t>
            </w:r>
            <w:r>
              <w:rPr>
                <w:u w:val="none"/>
              </w:rPr>
              <w:t>.</w:t>
            </w:r>
            <w:r>
              <w:rPr>
                <w:rFonts w:hint="eastAsia"/>
                <w:u w:val="none"/>
              </w:rPr>
              <w:t>3固体废物及危险废物</w:t>
            </w:r>
          </w:p>
          <w:p w14:paraId="67F89C99">
            <w:pPr>
              <w:adjustRightInd w:val="0"/>
              <w:snapToGrid w:val="0"/>
              <w:ind w:firstLine="480" w:firstLineChars="200"/>
              <w:rPr>
                <w:rFonts w:hint="eastAsia"/>
                <w:u w:val="none"/>
              </w:rPr>
            </w:pPr>
            <w:r>
              <w:rPr>
                <w:rFonts w:hint="eastAsia"/>
                <w:u w:val="none"/>
              </w:rPr>
              <w:t>本工程一般工业固体废物执行《一般工业固体废物贮存、处置场污染控制标准》（GB18599-2001）；危险废物执行</w:t>
            </w:r>
            <w:r>
              <w:rPr>
                <w:rFonts w:hint="eastAsia"/>
                <w:u w:val="none"/>
                <w:lang w:eastAsia="zh-CN"/>
              </w:rPr>
              <w:t>《危险废物贮存污染控制标准》（GB 18597-2023）</w:t>
            </w:r>
            <w:r>
              <w:rPr>
                <w:rFonts w:hint="eastAsia"/>
                <w:u w:val="none"/>
              </w:rPr>
              <w:t>中的有关要求。</w:t>
            </w:r>
          </w:p>
          <w:p w14:paraId="217E5865">
            <w:pPr>
              <w:pStyle w:val="28"/>
              <w:rPr>
                <w:u w:val="none"/>
              </w:rPr>
            </w:pPr>
          </w:p>
        </w:tc>
      </w:tr>
      <w:tr w14:paraId="15D77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9" w:type="dxa"/>
            <w:vAlign w:val="center"/>
          </w:tcPr>
          <w:p w14:paraId="04B50FB4">
            <w:pPr>
              <w:adjustRightInd w:val="0"/>
              <w:snapToGrid w:val="0"/>
              <w:jc w:val="center"/>
              <w:rPr>
                <w:kern w:val="0"/>
                <w:u w:val="none"/>
              </w:rPr>
            </w:pPr>
            <w:r>
              <w:rPr>
                <w:kern w:val="0"/>
                <w:u w:val="none"/>
              </w:rPr>
              <w:t>其他</w:t>
            </w:r>
          </w:p>
        </w:tc>
        <w:tc>
          <w:tcPr>
            <w:tcW w:w="8478" w:type="dxa"/>
            <w:vAlign w:val="center"/>
          </w:tcPr>
          <w:p w14:paraId="210CE51C">
            <w:pPr>
              <w:adjustRightInd w:val="0"/>
              <w:snapToGrid w:val="0"/>
              <w:ind w:firstLine="360" w:firstLineChars="150"/>
              <w:jc w:val="left"/>
              <w:rPr>
                <w:kern w:val="0"/>
                <w:u w:val="none"/>
              </w:rPr>
            </w:pPr>
            <w:r>
              <w:rPr>
                <w:rFonts w:hint="eastAsia"/>
                <w:u w:val="none"/>
              </w:rPr>
              <w:t>220kV</w:t>
            </w:r>
            <w:r>
              <w:rPr>
                <w:rFonts w:hint="eastAsia"/>
                <w:u w:val="none"/>
                <w:lang w:val="en-US" w:eastAsia="zh-CN"/>
              </w:rPr>
              <w:t>果山</w:t>
            </w:r>
            <w:r>
              <w:rPr>
                <w:u w:val="none"/>
              </w:rPr>
              <w:t>变电站运行期</w:t>
            </w:r>
            <w:r>
              <w:rPr>
                <w:rFonts w:hint="eastAsia"/>
                <w:u w:val="none"/>
              </w:rPr>
              <w:t>生活污水经化粪池处理后用于站内绿化，不外排。不会对周围水环境产生影响。本期无新增定员，无新增生活污水</w:t>
            </w:r>
            <w:r>
              <w:rPr>
                <w:u w:val="none"/>
              </w:rPr>
              <w:t>。项目运行过程中无废气产生，无污染物总量控制指标要求。</w:t>
            </w:r>
          </w:p>
        </w:tc>
      </w:tr>
    </w:tbl>
    <w:p w14:paraId="3E06BF22">
      <w:pPr>
        <w:jc w:val="center"/>
        <w:rPr>
          <w:u w:val="none"/>
        </w:rPr>
      </w:pPr>
      <w:r>
        <w:rPr>
          <w:snapToGrid w:val="0"/>
          <w:u w:val="none"/>
        </w:rPr>
        <w:br w:type="page"/>
      </w:r>
      <w:bookmarkStart w:id="27" w:name="_Toc22274"/>
      <w:bookmarkStart w:id="28" w:name="_Toc12428"/>
      <w:bookmarkStart w:id="29" w:name="_Toc32602"/>
      <w:bookmarkStart w:id="30" w:name="_Toc8796"/>
      <w:r>
        <w:rPr>
          <w:rStyle w:val="27"/>
          <w:u w:val="none"/>
        </w:rPr>
        <w:t>四、生态环境影响分析</w:t>
      </w:r>
      <w:bookmarkEnd w:id="27"/>
      <w:bookmarkEnd w:id="28"/>
      <w:bookmarkEnd w:id="29"/>
      <w:bookmarkEnd w:id="30"/>
    </w:p>
    <w:tbl>
      <w:tblPr>
        <w:tblStyle w:val="19"/>
        <w:tblW w:w="92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15"/>
      </w:tblGrid>
      <w:tr w14:paraId="0077C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8" w:hRule="atLeast"/>
          <w:jc w:val="center"/>
        </w:trPr>
        <w:tc>
          <w:tcPr>
            <w:tcW w:w="456" w:type="dxa"/>
            <w:tcMar>
              <w:left w:w="28" w:type="dxa"/>
              <w:right w:w="28" w:type="dxa"/>
            </w:tcMar>
            <w:vAlign w:val="center"/>
          </w:tcPr>
          <w:p w14:paraId="39326F83">
            <w:pPr>
              <w:pStyle w:val="17"/>
              <w:adjustRightInd w:val="0"/>
              <w:snapToGrid w:val="0"/>
              <w:spacing w:beforeAutospacing="0" w:afterAutospacing="0"/>
              <w:jc w:val="center"/>
              <w:rPr>
                <w:rFonts w:ascii="Times New Roman" w:hAnsi="Times New Roman"/>
                <w:bCs/>
                <w:kern w:val="2"/>
                <w:szCs w:val="24"/>
                <w:u w:val="none"/>
              </w:rPr>
            </w:pPr>
            <w:bookmarkStart w:id="31" w:name="_Hlk49796138"/>
            <w:r>
              <w:rPr>
                <w:rFonts w:ascii="Times New Roman" w:hAnsi="Times New Roman"/>
                <w:bCs/>
                <w:spacing w:val="10"/>
                <w:kern w:val="2"/>
                <w:szCs w:val="24"/>
                <w:u w:val="none"/>
              </w:rPr>
              <w:t>施工期生态环境影响分析</w:t>
            </w:r>
            <w:bookmarkEnd w:id="31"/>
          </w:p>
        </w:tc>
        <w:tc>
          <w:tcPr>
            <w:tcW w:w="8815" w:type="dxa"/>
          </w:tcPr>
          <w:p w14:paraId="5825871A">
            <w:pPr>
              <w:autoSpaceDE/>
              <w:autoSpaceDN/>
              <w:adjustRightInd w:val="0"/>
              <w:snapToGrid w:val="0"/>
              <w:ind w:firstLine="0"/>
              <w:rPr>
                <w:b/>
                <w:bCs/>
                <w:u w:val="none"/>
              </w:rPr>
            </w:pPr>
            <w:r>
              <w:rPr>
                <w:b/>
                <w:bCs/>
                <w:u w:val="none"/>
              </w:rPr>
              <w:t>4.1施工期工艺流程和产污环节</w:t>
            </w:r>
          </w:p>
          <w:p w14:paraId="2DD8B476">
            <w:pPr>
              <w:adjustRightInd w:val="0"/>
              <w:snapToGrid w:val="0"/>
              <w:ind w:firstLine="0"/>
              <w:jc w:val="center"/>
              <w:rPr>
                <w:u w:val="none"/>
              </w:rPr>
            </w:pPr>
            <w:r>
              <w:rPr>
                <w:u w:val="none"/>
              </w:rPr>
              <w:drawing>
                <wp:inline distT="0" distB="0" distL="114300" distR="114300">
                  <wp:extent cx="5169535" cy="2118360"/>
                  <wp:effectExtent l="0" t="0" r="12065"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pic:cNvPicPr>
                        </pic:nvPicPr>
                        <pic:blipFill>
                          <a:blip r:embed="rId12"/>
                          <a:stretch>
                            <a:fillRect/>
                          </a:stretch>
                        </pic:blipFill>
                        <pic:spPr>
                          <a:xfrm>
                            <a:off x="0" y="0"/>
                            <a:ext cx="5169535" cy="2118360"/>
                          </a:xfrm>
                          <a:prstGeom prst="rect">
                            <a:avLst/>
                          </a:prstGeom>
                          <a:noFill/>
                          <a:ln>
                            <a:noFill/>
                          </a:ln>
                        </pic:spPr>
                      </pic:pic>
                    </a:graphicData>
                  </a:graphic>
                </wp:inline>
              </w:drawing>
            </w:r>
          </w:p>
          <w:p w14:paraId="562E0CD1">
            <w:pPr>
              <w:adjustRightInd w:val="0"/>
              <w:snapToGrid w:val="0"/>
              <w:ind w:firstLine="480"/>
              <w:jc w:val="center"/>
              <w:rPr>
                <w:b/>
                <w:bCs/>
                <w:u w:val="none"/>
              </w:rPr>
            </w:pPr>
            <w:r>
              <w:rPr>
                <w:b/>
                <w:bCs/>
                <w:u w:val="none"/>
              </w:rPr>
              <w:t>图4.1-1</w:t>
            </w:r>
            <w:r>
              <w:rPr>
                <w:rFonts w:hint="eastAsia"/>
                <w:b/>
                <w:bCs/>
                <w:u w:val="none"/>
              </w:rPr>
              <w:t>项目</w:t>
            </w:r>
            <w:r>
              <w:rPr>
                <w:b/>
                <w:bCs/>
                <w:u w:val="none"/>
              </w:rPr>
              <w:t>施工期产污环节图</w:t>
            </w:r>
          </w:p>
          <w:p w14:paraId="66710019">
            <w:pPr>
              <w:adjustRightInd w:val="0"/>
              <w:ind w:firstLine="0"/>
              <w:rPr>
                <w:b/>
                <w:bCs/>
                <w:sz w:val="24"/>
                <w:szCs w:val="24"/>
                <w:u w:val="none"/>
              </w:rPr>
            </w:pPr>
            <w:r>
              <w:rPr>
                <w:rFonts w:hint="eastAsia"/>
                <w:b/>
                <w:bCs/>
                <w:sz w:val="24"/>
                <w:szCs w:val="24"/>
                <w:u w:val="none"/>
              </w:rPr>
              <w:t>4.2.主要污染工序</w:t>
            </w:r>
          </w:p>
          <w:p w14:paraId="2906725F">
            <w:pPr>
              <w:adjustRightInd w:val="0"/>
              <w:ind w:firstLine="0"/>
              <w:rPr>
                <w:sz w:val="24"/>
                <w:szCs w:val="24"/>
                <w:u w:val="none"/>
              </w:rPr>
            </w:pPr>
            <w:r>
              <w:rPr>
                <w:rFonts w:hint="eastAsia"/>
                <w:sz w:val="24"/>
                <w:szCs w:val="24"/>
                <w:u w:val="none"/>
              </w:rPr>
              <w:t>4.2.1生态环境</w:t>
            </w:r>
          </w:p>
          <w:p w14:paraId="203C76EA">
            <w:pPr>
              <w:adjustRightInd w:val="0"/>
              <w:ind w:firstLine="480" w:firstLineChars="200"/>
              <w:rPr>
                <w:sz w:val="24"/>
                <w:szCs w:val="24"/>
                <w:u w:val="none"/>
              </w:rPr>
            </w:pPr>
            <w:r>
              <w:rPr>
                <w:rFonts w:hint="eastAsia"/>
                <w:sz w:val="24"/>
                <w:szCs w:val="24"/>
                <w:u w:val="none"/>
              </w:rPr>
              <w:t>本期扩建</w:t>
            </w:r>
            <w:r>
              <w:rPr>
                <w:rFonts w:hint="eastAsia"/>
                <w:sz w:val="24"/>
                <w:szCs w:val="24"/>
                <w:u w:val="none"/>
                <w:lang w:val="en-US" w:eastAsia="zh-CN"/>
              </w:rPr>
              <w:t>工程无新增用地</w:t>
            </w:r>
            <w:r>
              <w:rPr>
                <w:rFonts w:hint="eastAsia"/>
                <w:sz w:val="24"/>
                <w:szCs w:val="24"/>
                <w:u w:val="none"/>
              </w:rPr>
              <w:t>，</w:t>
            </w:r>
            <w:r>
              <w:rPr>
                <w:rFonts w:hint="eastAsia"/>
                <w:sz w:val="24"/>
                <w:szCs w:val="24"/>
                <w:u w:val="none"/>
                <w:lang w:val="en-US" w:eastAsia="zh-CN"/>
              </w:rPr>
              <w:t>不</w:t>
            </w:r>
            <w:r>
              <w:rPr>
                <w:rFonts w:hint="eastAsia"/>
                <w:sz w:val="24"/>
                <w:szCs w:val="24"/>
                <w:u w:val="none"/>
              </w:rPr>
              <w:t>会对原有土地绿化造成破坏。</w:t>
            </w:r>
          </w:p>
          <w:p w14:paraId="4C1ABB92">
            <w:pPr>
              <w:adjustRightInd w:val="0"/>
              <w:ind w:firstLine="0"/>
              <w:rPr>
                <w:sz w:val="24"/>
                <w:szCs w:val="24"/>
                <w:u w:val="none"/>
              </w:rPr>
            </w:pPr>
            <w:r>
              <w:rPr>
                <w:rFonts w:hint="eastAsia"/>
                <w:sz w:val="24"/>
                <w:szCs w:val="24"/>
                <w:u w:val="none"/>
              </w:rPr>
              <w:t>4.2.2扬尘</w:t>
            </w:r>
          </w:p>
          <w:p w14:paraId="6F7577BD">
            <w:pPr>
              <w:adjustRightInd w:val="0"/>
              <w:ind w:firstLine="480" w:firstLineChars="200"/>
              <w:rPr>
                <w:sz w:val="24"/>
                <w:szCs w:val="24"/>
                <w:u w:val="none"/>
              </w:rPr>
            </w:pPr>
            <w:r>
              <w:rPr>
                <w:rFonts w:hint="eastAsia"/>
                <w:sz w:val="24"/>
                <w:szCs w:val="24"/>
                <w:u w:val="none"/>
              </w:rPr>
              <w:t>a）基础开挖、沟道开挖；</w:t>
            </w:r>
          </w:p>
          <w:p w14:paraId="2905A87B">
            <w:pPr>
              <w:adjustRightInd w:val="0"/>
              <w:ind w:firstLine="480" w:firstLineChars="200"/>
              <w:rPr>
                <w:sz w:val="24"/>
                <w:szCs w:val="24"/>
                <w:u w:val="none"/>
              </w:rPr>
            </w:pPr>
            <w:r>
              <w:rPr>
                <w:rFonts w:hint="eastAsia"/>
                <w:sz w:val="24"/>
                <w:szCs w:val="24"/>
                <w:u w:val="none"/>
              </w:rPr>
              <w:t>b）主变构架装置及电器设备的</w:t>
            </w:r>
            <w:r>
              <w:rPr>
                <w:sz w:val="24"/>
                <w:szCs w:val="24"/>
                <w:u w:val="none"/>
              </w:rPr>
              <w:t>运输</w:t>
            </w:r>
            <w:r>
              <w:rPr>
                <w:rFonts w:hint="eastAsia"/>
                <w:sz w:val="24"/>
                <w:szCs w:val="24"/>
                <w:u w:val="none"/>
              </w:rPr>
              <w:t>过程；</w:t>
            </w:r>
          </w:p>
          <w:p w14:paraId="5460EEA8">
            <w:pPr>
              <w:adjustRightInd w:val="0"/>
              <w:snapToGrid w:val="0"/>
              <w:ind w:firstLine="480" w:firstLineChars="0"/>
              <w:rPr>
                <w:u w:val="none"/>
              </w:rPr>
            </w:pPr>
            <w:r>
              <w:rPr>
                <w:rFonts w:hint="eastAsia"/>
                <w:u w:val="none"/>
              </w:rPr>
              <w:t>c）</w:t>
            </w:r>
            <w:r>
              <w:rPr>
                <w:u w:val="none"/>
              </w:rPr>
              <w:t>料堆和渣土堆放</w:t>
            </w:r>
            <w:r>
              <w:rPr>
                <w:rFonts w:hint="eastAsia"/>
                <w:u w:val="none"/>
              </w:rPr>
              <w:t>。</w:t>
            </w:r>
          </w:p>
          <w:p w14:paraId="795B2119">
            <w:pPr>
              <w:adjustRightInd w:val="0"/>
              <w:ind w:firstLine="0"/>
              <w:rPr>
                <w:sz w:val="24"/>
                <w:szCs w:val="24"/>
                <w:u w:val="none"/>
              </w:rPr>
            </w:pPr>
            <w:r>
              <w:rPr>
                <w:rFonts w:hint="eastAsia"/>
                <w:sz w:val="24"/>
                <w:szCs w:val="24"/>
                <w:u w:val="none"/>
              </w:rPr>
              <w:t>4.2.3废水</w:t>
            </w:r>
          </w:p>
          <w:p w14:paraId="4E9C95B4">
            <w:pPr>
              <w:adjustRightInd w:val="0"/>
              <w:snapToGrid w:val="0"/>
              <w:ind w:firstLine="480"/>
              <w:rPr>
                <w:u w:val="none"/>
              </w:rPr>
            </w:pPr>
            <w:r>
              <w:rPr>
                <w:rFonts w:hint="eastAsia"/>
                <w:u w:val="none"/>
              </w:rPr>
              <w:t>a）</w:t>
            </w:r>
            <w:r>
              <w:rPr>
                <w:u w:val="none"/>
              </w:rPr>
              <w:t>施工人员产生的少量生活污水，主要含有COD</w:t>
            </w:r>
            <w:r>
              <w:rPr>
                <w:u w:val="none"/>
                <w:vertAlign w:val="subscript"/>
              </w:rPr>
              <w:t>Cr</w:t>
            </w:r>
            <w:r>
              <w:rPr>
                <w:u w:val="none"/>
              </w:rPr>
              <w:t>、BOD</w:t>
            </w:r>
            <w:r>
              <w:rPr>
                <w:u w:val="none"/>
                <w:vertAlign w:val="subscript"/>
              </w:rPr>
              <w:t>5</w:t>
            </w:r>
            <w:r>
              <w:rPr>
                <w:u w:val="none"/>
              </w:rPr>
              <w:t>、氨氮等污染物</w:t>
            </w:r>
            <w:r>
              <w:rPr>
                <w:rFonts w:hint="eastAsia"/>
                <w:u w:val="none"/>
              </w:rPr>
              <w:t>，产生的生活污水经化粪池处理后</w:t>
            </w:r>
            <w:r>
              <w:rPr>
                <w:rFonts w:hint="eastAsia"/>
                <w:u w:val="none"/>
                <w:lang w:val="en-US" w:eastAsia="zh-CN"/>
              </w:rPr>
              <w:t>用于绿化</w:t>
            </w:r>
            <w:r>
              <w:rPr>
                <w:rFonts w:hint="eastAsia"/>
                <w:u w:val="none"/>
              </w:rPr>
              <w:t>，不外排；</w:t>
            </w:r>
          </w:p>
          <w:p w14:paraId="3473BB2E">
            <w:pPr>
              <w:adjustRightInd w:val="0"/>
              <w:snapToGrid w:val="0"/>
              <w:ind w:firstLine="480"/>
              <w:rPr>
                <w:u w:val="none"/>
              </w:rPr>
            </w:pPr>
            <w:r>
              <w:rPr>
                <w:rFonts w:hint="eastAsia"/>
                <w:u w:val="none"/>
              </w:rPr>
              <w:t>b）</w:t>
            </w:r>
            <w:r>
              <w:rPr>
                <w:u w:val="none"/>
              </w:rPr>
              <w:t>施工过程中不产生施工废水，设备清洗统一指定地点</w:t>
            </w:r>
            <w:r>
              <w:rPr>
                <w:rFonts w:hint="eastAsia"/>
                <w:u w:val="none"/>
              </w:rPr>
              <w:t>，不产生清洗废水</w:t>
            </w:r>
            <w:r>
              <w:rPr>
                <w:u w:val="none"/>
              </w:rPr>
              <w:t>。</w:t>
            </w:r>
            <w:r>
              <w:rPr>
                <w:rFonts w:hint="eastAsia"/>
                <w:u w:val="none"/>
              </w:rPr>
              <w:t>施工时使用商用混凝土，不产生</w:t>
            </w:r>
            <w:r>
              <w:rPr>
                <w:rFonts w:hint="eastAsia"/>
                <w:u w:val="none"/>
                <w:lang w:eastAsia="zh-CN"/>
              </w:rPr>
              <w:t>拌和</w:t>
            </w:r>
            <w:r>
              <w:rPr>
                <w:rFonts w:hint="eastAsia"/>
                <w:u w:val="none"/>
              </w:rPr>
              <w:t>废水。</w:t>
            </w:r>
          </w:p>
          <w:p w14:paraId="6FA55FBA">
            <w:pPr>
              <w:adjustRightInd w:val="0"/>
              <w:ind w:firstLine="0"/>
              <w:rPr>
                <w:sz w:val="24"/>
                <w:szCs w:val="24"/>
                <w:u w:val="none"/>
              </w:rPr>
            </w:pPr>
            <w:r>
              <w:rPr>
                <w:rFonts w:hint="eastAsia"/>
                <w:sz w:val="24"/>
                <w:szCs w:val="24"/>
                <w:u w:val="none"/>
              </w:rPr>
              <w:t>4.2.4噪声</w:t>
            </w:r>
          </w:p>
          <w:p w14:paraId="5AA49744">
            <w:pPr>
              <w:adjustRightInd w:val="0"/>
              <w:ind w:firstLine="480" w:firstLineChars="200"/>
              <w:rPr>
                <w:sz w:val="24"/>
                <w:szCs w:val="24"/>
                <w:u w:val="none"/>
              </w:rPr>
            </w:pPr>
            <w:r>
              <w:rPr>
                <w:rFonts w:hint="eastAsia"/>
                <w:sz w:val="24"/>
                <w:szCs w:val="24"/>
                <w:u w:val="none"/>
              </w:rPr>
              <w:t>a）开挖机械等施工噪声；</w:t>
            </w:r>
          </w:p>
          <w:p w14:paraId="33E71CEF">
            <w:pPr>
              <w:adjustRightInd w:val="0"/>
              <w:ind w:firstLine="480" w:firstLineChars="200"/>
              <w:rPr>
                <w:sz w:val="24"/>
                <w:szCs w:val="24"/>
                <w:u w:val="none"/>
              </w:rPr>
            </w:pPr>
            <w:r>
              <w:rPr>
                <w:rFonts w:hint="eastAsia"/>
                <w:sz w:val="24"/>
                <w:szCs w:val="24"/>
                <w:u w:val="none"/>
              </w:rPr>
              <w:t>b）</w:t>
            </w:r>
            <w:r>
              <w:rPr>
                <w:sz w:val="24"/>
                <w:szCs w:val="24"/>
                <w:u w:val="none"/>
              </w:rPr>
              <w:t>设备运输车辆产生噪声</w:t>
            </w:r>
            <w:r>
              <w:rPr>
                <w:rFonts w:hint="eastAsia"/>
                <w:sz w:val="24"/>
                <w:szCs w:val="24"/>
                <w:u w:val="none"/>
              </w:rPr>
              <w:t>。</w:t>
            </w:r>
          </w:p>
          <w:p w14:paraId="5356585F">
            <w:pPr>
              <w:adjustRightInd w:val="0"/>
              <w:ind w:firstLine="0"/>
              <w:rPr>
                <w:sz w:val="24"/>
                <w:szCs w:val="24"/>
                <w:u w:val="none"/>
              </w:rPr>
            </w:pPr>
            <w:r>
              <w:rPr>
                <w:rFonts w:hint="eastAsia"/>
                <w:sz w:val="24"/>
                <w:szCs w:val="24"/>
                <w:u w:val="none"/>
              </w:rPr>
              <w:t>4.2.5固废</w:t>
            </w:r>
          </w:p>
          <w:p w14:paraId="3C1CAC7F">
            <w:pPr>
              <w:adjustRightInd w:val="0"/>
              <w:snapToGrid w:val="0"/>
              <w:ind w:firstLine="480"/>
              <w:rPr>
                <w:rFonts w:hint="eastAsia" w:eastAsia="宋体"/>
                <w:u w:val="none"/>
                <w:lang w:eastAsia="zh-CN"/>
              </w:rPr>
            </w:pPr>
            <w:r>
              <w:rPr>
                <w:rFonts w:hint="eastAsia"/>
                <w:u w:val="none"/>
              </w:rPr>
              <w:t>a）</w:t>
            </w:r>
            <w:r>
              <w:rPr>
                <w:u w:val="none"/>
              </w:rPr>
              <w:t>施工期施工人员产生的生活垃圾</w:t>
            </w:r>
            <w:r>
              <w:rPr>
                <w:rFonts w:hint="eastAsia"/>
                <w:u w:val="none"/>
                <w:lang w:eastAsia="zh-CN"/>
              </w:rPr>
              <w:t>；</w:t>
            </w:r>
          </w:p>
          <w:p w14:paraId="0E93CDD5">
            <w:pPr>
              <w:adjustRightInd w:val="0"/>
              <w:snapToGrid w:val="0"/>
              <w:ind w:firstLine="480" w:firstLineChars="0"/>
              <w:rPr>
                <w:rFonts w:hint="default"/>
                <w:u w:val="none"/>
                <w:lang w:val="en-US" w:eastAsia="zh-CN"/>
              </w:rPr>
            </w:pPr>
            <w:r>
              <w:rPr>
                <w:rFonts w:hint="eastAsia"/>
                <w:u w:val="none"/>
              </w:rPr>
              <w:t>b）设备安装、旧设备拆卸时产生的废弃包装及建筑垃圾</w:t>
            </w:r>
            <w:r>
              <w:rPr>
                <w:rFonts w:hint="eastAsia"/>
                <w:u w:val="none"/>
                <w:lang w:val="en-US" w:eastAsia="zh-CN"/>
              </w:rPr>
              <w:t>。</w:t>
            </w:r>
          </w:p>
          <w:p w14:paraId="47AC891D">
            <w:pPr>
              <w:keepNext w:val="0"/>
              <w:keepLines w:val="0"/>
              <w:pageBreakBefore w:val="0"/>
              <w:widowControl w:val="0"/>
              <w:kinsoku/>
              <w:wordWrap/>
              <w:overflowPunct/>
              <w:topLinePunct w:val="0"/>
              <w:autoSpaceDE/>
              <w:autoSpaceDN/>
              <w:bidi w:val="0"/>
              <w:adjustRightInd w:val="0"/>
              <w:snapToGrid w:val="0"/>
              <w:ind w:firstLine="0"/>
              <w:textAlignment w:val="auto"/>
              <w:rPr>
                <w:b/>
                <w:bCs/>
                <w:u w:val="none"/>
              </w:rPr>
            </w:pPr>
            <w:r>
              <w:rPr>
                <w:u w:val="none"/>
              </w:rPr>
              <w:t>4.2.6施工期污染物产生及预计排放情况</w:t>
            </w:r>
          </w:p>
          <w:p w14:paraId="1B7A2A81">
            <w:pPr>
              <w:keepNext w:val="0"/>
              <w:keepLines w:val="0"/>
              <w:pageBreakBefore w:val="0"/>
              <w:widowControl w:val="0"/>
              <w:kinsoku/>
              <w:wordWrap/>
              <w:overflowPunct/>
              <w:topLinePunct w:val="0"/>
              <w:autoSpaceDE/>
              <w:autoSpaceDN/>
              <w:bidi w:val="0"/>
              <w:adjustRightInd w:val="0"/>
              <w:snapToGrid w:val="0"/>
              <w:spacing w:before="72" w:after="120"/>
              <w:ind w:firstLine="0"/>
              <w:jc w:val="center"/>
              <w:textAlignment w:val="auto"/>
              <w:rPr>
                <w:sz w:val="24"/>
                <w:u w:val="none"/>
              </w:rPr>
            </w:pPr>
            <w:r>
              <w:rPr>
                <w:sz w:val="24"/>
                <w:u w:val="none"/>
              </w:rPr>
              <w:t>表4.2-1施工期污染物产生及预计排放情况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737"/>
              <w:gridCol w:w="1240"/>
              <w:gridCol w:w="2731"/>
              <w:gridCol w:w="2057"/>
            </w:tblGrid>
            <w:tr w14:paraId="6398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l2br w:val="single" w:color="auto" w:sz="4" w:space="0"/>
                  </w:tcBorders>
                  <w:tcMar>
                    <w:left w:w="28" w:type="dxa"/>
                    <w:right w:w="28" w:type="dxa"/>
                  </w:tcMar>
                  <w:vAlign w:val="center"/>
                </w:tcPr>
                <w:p w14:paraId="22C06EB6">
                  <w:pPr>
                    <w:ind w:firstLine="211" w:firstLineChars="100"/>
                    <w:jc w:val="center"/>
                    <w:rPr>
                      <w:b/>
                      <w:bCs/>
                      <w:color w:val="auto"/>
                      <w:sz w:val="21"/>
                      <w:szCs w:val="21"/>
                      <w:u w:val="none"/>
                    </w:rPr>
                  </w:pPr>
                  <w:r>
                    <w:rPr>
                      <w:b/>
                      <w:bCs/>
                      <w:color w:val="auto"/>
                      <w:sz w:val="21"/>
                      <w:szCs w:val="21"/>
                      <w:u w:val="none"/>
                    </w:rPr>
                    <w:t>内容</w:t>
                  </w:r>
                </w:p>
                <w:p w14:paraId="1ED7E8D1">
                  <w:pPr>
                    <w:ind w:firstLine="0"/>
                    <w:jc w:val="center"/>
                    <w:rPr>
                      <w:b/>
                      <w:bCs/>
                      <w:color w:val="auto"/>
                      <w:sz w:val="21"/>
                      <w:szCs w:val="21"/>
                      <w:u w:val="none"/>
                    </w:rPr>
                  </w:pPr>
                </w:p>
                <w:p w14:paraId="1164B7F7">
                  <w:pPr>
                    <w:ind w:firstLine="0"/>
                    <w:jc w:val="center"/>
                    <w:rPr>
                      <w:b/>
                      <w:bCs/>
                      <w:color w:val="auto"/>
                      <w:sz w:val="21"/>
                      <w:szCs w:val="21"/>
                      <w:u w:val="none"/>
                    </w:rPr>
                  </w:pPr>
                  <w:r>
                    <w:rPr>
                      <w:b/>
                      <w:bCs/>
                      <w:color w:val="auto"/>
                      <w:sz w:val="21"/>
                      <w:szCs w:val="21"/>
                      <w:u w:val="none"/>
                    </w:rPr>
                    <w:t>类型</w:t>
                  </w:r>
                </w:p>
              </w:tc>
              <w:tc>
                <w:tcPr>
                  <w:tcW w:w="1737" w:type="dxa"/>
                  <w:tcMar>
                    <w:left w:w="28" w:type="dxa"/>
                    <w:right w:w="28" w:type="dxa"/>
                  </w:tcMar>
                  <w:vAlign w:val="center"/>
                </w:tcPr>
                <w:p w14:paraId="0A85B60F">
                  <w:pPr>
                    <w:ind w:firstLine="0"/>
                    <w:jc w:val="center"/>
                    <w:rPr>
                      <w:b/>
                      <w:bCs/>
                      <w:color w:val="auto"/>
                      <w:sz w:val="21"/>
                      <w:szCs w:val="21"/>
                      <w:u w:val="none"/>
                    </w:rPr>
                  </w:pPr>
                  <w:r>
                    <w:rPr>
                      <w:b/>
                      <w:bCs/>
                      <w:color w:val="auto"/>
                      <w:sz w:val="21"/>
                      <w:szCs w:val="21"/>
                      <w:u w:val="none"/>
                    </w:rPr>
                    <w:t>排放</w:t>
                  </w:r>
                </w:p>
              </w:tc>
              <w:tc>
                <w:tcPr>
                  <w:tcW w:w="1240" w:type="dxa"/>
                  <w:tcMar>
                    <w:left w:w="28" w:type="dxa"/>
                    <w:right w:w="28" w:type="dxa"/>
                  </w:tcMar>
                  <w:vAlign w:val="center"/>
                </w:tcPr>
                <w:p w14:paraId="0AD950C0">
                  <w:pPr>
                    <w:ind w:firstLine="0"/>
                    <w:jc w:val="center"/>
                    <w:rPr>
                      <w:b/>
                      <w:bCs/>
                      <w:color w:val="auto"/>
                      <w:sz w:val="21"/>
                      <w:szCs w:val="21"/>
                      <w:u w:val="none"/>
                    </w:rPr>
                  </w:pPr>
                  <w:r>
                    <w:rPr>
                      <w:b/>
                      <w:bCs/>
                      <w:color w:val="auto"/>
                      <w:sz w:val="21"/>
                      <w:szCs w:val="21"/>
                      <w:u w:val="none"/>
                    </w:rPr>
                    <w:t>污染物名称</w:t>
                  </w:r>
                </w:p>
              </w:tc>
              <w:tc>
                <w:tcPr>
                  <w:tcW w:w="2731" w:type="dxa"/>
                  <w:tcMar>
                    <w:left w:w="28" w:type="dxa"/>
                    <w:right w:w="28" w:type="dxa"/>
                  </w:tcMar>
                  <w:vAlign w:val="center"/>
                </w:tcPr>
                <w:p w14:paraId="38E59E4E">
                  <w:pPr>
                    <w:ind w:firstLine="0"/>
                    <w:jc w:val="center"/>
                    <w:rPr>
                      <w:b/>
                      <w:bCs/>
                      <w:color w:val="auto"/>
                      <w:sz w:val="21"/>
                      <w:szCs w:val="21"/>
                      <w:u w:val="none"/>
                    </w:rPr>
                  </w:pPr>
                  <w:r>
                    <w:rPr>
                      <w:b/>
                      <w:bCs/>
                      <w:color w:val="auto"/>
                      <w:sz w:val="21"/>
                      <w:szCs w:val="21"/>
                      <w:u w:val="none"/>
                    </w:rPr>
                    <w:t>处理前产生浓度及产生量</w:t>
                  </w:r>
                </w:p>
              </w:tc>
              <w:tc>
                <w:tcPr>
                  <w:tcW w:w="2057" w:type="dxa"/>
                  <w:tcMar>
                    <w:left w:w="28" w:type="dxa"/>
                    <w:right w:w="28" w:type="dxa"/>
                  </w:tcMar>
                  <w:vAlign w:val="center"/>
                </w:tcPr>
                <w:p w14:paraId="3259F957">
                  <w:pPr>
                    <w:ind w:firstLine="0"/>
                    <w:jc w:val="center"/>
                    <w:rPr>
                      <w:b/>
                      <w:bCs/>
                      <w:color w:val="auto"/>
                      <w:sz w:val="21"/>
                      <w:szCs w:val="21"/>
                      <w:u w:val="none"/>
                    </w:rPr>
                  </w:pPr>
                  <w:r>
                    <w:rPr>
                      <w:b/>
                      <w:bCs/>
                      <w:color w:val="auto"/>
                      <w:sz w:val="21"/>
                      <w:szCs w:val="21"/>
                      <w:u w:val="none"/>
                    </w:rPr>
                    <w:t>排放浓度及排放量</w:t>
                  </w:r>
                </w:p>
              </w:tc>
            </w:tr>
            <w:tr w14:paraId="2D0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Mar>
                    <w:left w:w="28" w:type="dxa"/>
                    <w:right w:w="28" w:type="dxa"/>
                  </w:tcMar>
                  <w:vAlign w:val="center"/>
                </w:tcPr>
                <w:p w14:paraId="4BED9357">
                  <w:pPr>
                    <w:ind w:firstLine="0"/>
                    <w:jc w:val="center"/>
                    <w:rPr>
                      <w:sz w:val="21"/>
                      <w:szCs w:val="21"/>
                      <w:u w:val="none"/>
                    </w:rPr>
                  </w:pPr>
                  <w:r>
                    <w:rPr>
                      <w:sz w:val="21"/>
                      <w:szCs w:val="21"/>
                      <w:u w:val="none"/>
                    </w:rPr>
                    <w:t>大气污染物</w:t>
                  </w:r>
                </w:p>
              </w:tc>
              <w:tc>
                <w:tcPr>
                  <w:tcW w:w="1737" w:type="dxa"/>
                  <w:tcMar>
                    <w:left w:w="28" w:type="dxa"/>
                    <w:right w:w="28" w:type="dxa"/>
                  </w:tcMar>
                  <w:vAlign w:val="center"/>
                </w:tcPr>
                <w:p w14:paraId="2CAC362A">
                  <w:pPr>
                    <w:ind w:firstLine="0"/>
                    <w:jc w:val="center"/>
                    <w:rPr>
                      <w:sz w:val="21"/>
                      <w:szCs w:val="21"/>
                      <w:u w:val="none"/>
                      <w:lang w:eastAsia="zh-CN"/>
                    </w:rPr>
                  </w:pPr>
                  <w:r>
                    <w:rPr>
                      <w:sz w:val="21"/>
                      <w:szCs w:val="21"/>
                      <w:u w:val="none"/>
                      <w:lang w:eastAsia="zh-CN"/>
                    </w:rPr>
                    <w:t>土方开挖</w:t>
                  </w:r>
                </w:p>
                <w:p w14:paraId="0B970FC4">
                  <w:pPr>
                    <w:ind w:firstLine="0"/>
                    <w:jc w:val="center"/>
                    <w:rPr>
                      <w:sz w:val="21"/>
                      <w:szCs w:val="21"/>
                      <w:u w:val="none"/>
                      <w:lang w:eastAsia="zh-CN"/>
                    </w:rPr>
                  </w:pPr>
                  <w:r>
                    <w:rPr>
                      <w:sz w:val="21"/>
                      <w:szCs w:val="21"/>
                      <w:u w:val="none"/>
                      <w:lang w:eastAsia="zh-CN"/>
                    </w:rPr>
                    <w:t>材料装卸</w:t>
                  </w:r>
                </w:p>
                <w:p w14:paraId="1207B378">
                  <w:pPr>
                    <w:ind w:firstLine="0"/>
                    <w:jc w:val="center"/>
                    <w:rPr>
                      <w:sz w:val="21"/>
                      <w:szCs w:val="21"/>
                      <w:u w:val="none"/>
                      <w:lang w:eastAsia="zh-CN"/>
                    </w:rPr>
                  </w:pPr>
                  <w:r>
                    <w:rPr>
                      <w:sz w:val="21"/>
                      <w:szCs w:val="21"/>
                      <w:u w:val="none"/>
                      <w:lang w:eastAsia="zh-CN"/>
                    </w:rPr>
                    <w:t>运输车辆</w:t>
                  </w:r>
                </w:p>
              </w:tc>
              <w:tc>
                <w:tcPr>
                  <w:tcW w:w="1240" w:type="dxa"/>
                  <w:tcMar>
                    <w:left w:w="28" w:type="dxa"/>
                    <w:right w:w="28" w:type="dxa"/>
                  </w:tcMar>
                  <w:vAlign w:val="center"/>
                </w:tcPr>
                <w:p w14:paraId="77020654">
                  <w:pPr>
                    <w:ind w:firstLine="0"/>
                    <w:jc w:val="center"/>
                    <w:rPr>
                      <w:sz w:val="21"/>
                      <w:szCs w:val="21"/>
                      <w:u w:val="none"/>
                    </w:rPr>
                  </w:pPr>
                  <w:r>
                    <w:rPr>
                      <w:sz w:val="21"/>
                      <w:szCs w:val="21"/>
                      <w:u w:val="none"/>
                    </w:rPr>
                    <w:t>扬尘</w:t>
                  </w:r>
                </w:p>
                <w:p w14:paraId="5F7FA7A9">
                  <w:pPr>
                    <w:ind w:firstLine="0"/>
                    <w:jc w:val="center"/>
                    <w:rPr>
                      <w:sz w:val="21"/>
                      <w:szCs w:val="21"/>
                      <w:u w:val="none"/>
                    </w:rPr>
                  </w:pPr>
                  <w:r>
                    <w:rPr>
                      <w:sz w:val="21"/>
                      <w:szCs w:val="21"/>
                      <w:u w:val="none"/>
                    </w:rPr>
                    <w:t>粉尘</w:t>
                  </w:r>
                </w:p>
              </w:tc>
              <w:tc>
                <w:tcPr>
                  <w:tcW w:w="2731" w:type="dxa"/>
                  <w:tcMar>
                    <w:left w:w="28" w:type="dxa"/>
                    <w:right w:w="28" w:type="dxa"/>
                  </w:tcMar>
                  <w:vAlign w:val="center"/>
                </w:tcPr>
                <w:p w14:paraId="6EFCB284">
                  <w:pPr>
                    <w:ind w:firstLine="0"/>
                    <w:jc w:val="center"/>
                    <w:rPr>
                      <w:sz w:val="21"/>
                      <w:szCs w:val="21"/>
                      <w:u w:val="none"/>
                    </w:rPr>
                  </w:pPr>
                  <w:r>
                    <w:rPr>
                      <w:sz w:val="21"/>
                      <w:szCs w:val="21"/>
                      <w:u w:val="none"/>
                    </w:rPr>
                    <w:t>少量</w:t>
                  </w:r>
                </w:p>
              </w:tc>
              <w:tc>
                <w:tcPr>
                  <w:tcW w:w="2057" w:type="dxa"/>
                  <w:tcMar>
                    <w:left w:w="28" w:type="dxa"/>
                    <w:right w:w="28" w:type="dxa"/>
                  </w:tcMar>
                  <w:vAlign w:val="center"/>
                </w:tcPr>
                <w:p w14:paraId="6D374976">
                  <w:pPr>
                    <w:ind w:firstLine="0"/>
                    <w:jc w:val="center"/>
                    <w:rPr>
                      <w:sz w:val="21"/>
                      <w:szCs w:val="21"/>
                      <w:u w:val="none"/>
                    </w:rPr>
                  </w:pPr>
                  <w:r>
                    <w:rPr>
                      <w:sz w:val="21"/>
                      <w:szCs w:val="21"/>
                      <w:u w:val="none"/>
                    </w:rPr>
                    <w:t>少量</w:t>
                  </w:r>
                </w:p>
              </w:tc>
            </w:tr>
            <w:tr w14:paraId="6616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Mar>
                    <w:left w:w="28" w:type="dxa"/>
                    <w:right w:w="28" w:type="dxa"/>
                  </w:tcMar>
                  <w:vAlign w:val="center"/>
                </w:tcPr>
                <w:p w14:paraId="14DD1C9D">
                  <w:pPr>
                    <w:ind w:firstLine="0"/>
                    <w:jc w:val="center"/>
                    <w:rPr>
                      <w:sz w:val="21"/>
                      <w:szCs w:val="21"/>
                      <w:u w:val="none"/>
                    </w:rPr>
                  </w:pPr>
                  <w:r>
                    <w:rPr>
                      <w:sz w:val="21"/>
                      <w:szCs w:val="21"/>
                      <w:u w:val="none"/>
                    </w:rPr>
                    <w:t>水污染物</w:t>
                  </w:r>
                </w:p>
              </w:tc>
              <w:tc>
                <w:tcPr>
                  <w:tcW w:w="1737" w:type="dxa"/>
                  <w:tcMar>
                    <w:left w:w="28" w:type="dxa"/>
                    <w:right w:w="28" w:type="dxa"/>
                  </w:tcMar>
                  <w:vAlign w:val="center"/>
                </w:tcPr>
                <w:p w14:paraId="4E15F07A">
                  <w:pPr>
                    <w:ind w:firstLine="0"/>
                    <w:jc w:val="center"/>
                    <w:rPr>
                      <w:sz w:val="21"/>
                      <w:szCs w:val="21"/>
                      <w:u w:val="none"/>
                      <w:lang w:eastAsia="zh-CN"/>
                    </w:rPr>
                  </w:pPr>
                  <w:r>
                    <w:rPr>
                      <w:sz w:val="21"/>
                      <w:szCs w:val="21"/>
                      <w:u w:val="none"/>
                      <w:lang w:eastAsia="zh-CN"/>
                    </w:rPr>
                    <w:t>施工人员生活污水（约30人，50L/人·天）</w:t>
                  </w:r>
                </w:p>
              </w:tc>
              <w:tc>
                <w:tcPr>
                  <w:tcW w:w="1240" w:type="dxa"/>
                  <w:tcMar>
                    <w:left w:w="28" w:type="dxa"/>
                    <w:right w:w="28" w:type="dxa"/>
                  </w:tcMar>
                  <w:vAlign w:val="center"/>
                </w:tcPr>
                <w:p w14:paraId="73882C1C">
                  <w:pPr>
                    <w:ind w:firstLine="0"/>
                    <w:jc w:val="center"/>
                    <w:rPr>
                      <w:sz w:val="21"/>
                      <w:szCs w:val="21"/>
                      <w:u w:val="none"/>
                    </w:rPr>
                  </w:pPr>
                  <w:r>
                    <w:rPr>
                      <w:sz w:val="21"/>
                      <w:szCs w:val="21"/>
                      <w:u w:val="none"/>
                    </w:rPr>
                    <w:t>COD、BOD</w:t>
                  </w:r>
                  <w:r>
                    <w:rPr>
                      <w:sz w:val="21"/>
                      <w:szCs w:val="21"/>
                      <w:u w:val="none"/>
                      <w:vertAlign w:val="subscript"/>
                    </w:rPr>
                    <w:t>5</w:t>
                  </w:r>
                  <w:r>
                    <w:rPr>
                      <w:sz w:val="21"/>
                      <w:szCs w:val="21"/>
                      <w:u w:val="none"/>
                    </w:rPr>
                    <w:t>、NH</w:t>
                  </w:r>
                  <w:r>
                    <w:rPr>
                      <w:sz w:val="21"/>
                      <w:szCs w:val="21"/>
                      <w:u w:val="none"/>
                      <w:vertAlign w:val="subscript"/>
                    </w:rPr>
                    <w:t>3</w:t>
                  </w:r>
                  <w:r>
                    <w:rPr>
                      <w:sz w:val="21"/>
                      <w:szCs w:val="21"/>
                      <w:u w:val="none"/>
                    </w:rPr>
                    <w:t>-N</w:t>
                  </w:r>
                </w:p>
              </w:tc>
              <w:tc>
                <w:tcPr>
                  <w:tcW w:w="2731" w:type="dxa"/>
                  <w:tcMar>
                    <w:left w:w="28" w:type="dxa"/>
                    <w:right w:w="28" w:type="dxa"/>
                  </w:tcMar>
                  <w:vAlign w:val="center"/>
                </w:tcPr>
                <w:p w14:paraId="445938E5">
                  <w:pPr>
                    <w:ind w:firstLine="0"/>
                    <w:jc w:val="center"/>
                    <w:rPr>
                      <w:sz w:val="21"/>
                      <w:szCs w:val="21"/>
                      <w:u w:val="none"/>
                    </w:rPr>
                  </w:pPr>
                  <w:r>
                    <w:rPr>
                      <w:sz w:val="21"/>
                      <w:szCs w:val="21"/>
                      <w:u w:val="none"/>
                    </w:rPr>
                    <w:t>浓度：COD＜400mg/L</w:t>
                  </w:r>
                  <w:r>
                    <w:rPr>
                      <w:rFonts w:hint="eastAsia"/>
                      <w:sz w:val="21"/>
                      <w:szCs w:val="21"/>
                      <w:u w:val="none"/>
                      <w:lang w:eastAsia="zh-CN"/>
                    </w:rPr>
                    <w:t>，</w:t>
                  </w:r>
                  <w:r>
                    <w:rPr>
                      <w:sz w:val="21"/>
                      <w:szCs w:val="21"/>
                      <w:u w:val="none"/>
                    </w:rPr>
                    <w:t>BOD</w:t>
                  </w:r>
                  <w:r>
                    <w:rPr>
                      <w:sz w:val="21"/>
                      <w:szCs w:val="21"/>
                      <w:u w:val="none"/>
                      <w:vertAlign w:val="subscript"/>
                    </w:rPr>
                    <w:t>5</w:t>
                  </w:r>
                  <w:r>
                    <w:rPr>
                      <w:sz w:val="21"/>
                      <w:szCs w:val="21"/>
                      <w:u w:val="none"/>
                    </w:rPr>
                    <w:t>＜300mg/L</w:t>
                  </w:r>
                  <w:r>
                    <w:rPr>
                      <w:rFonts w:hint="eastAsia"/>
                      <w:sz w:val="21"/>
                      <w:szCs w:val="21"/>
                      <w:u w:val="none"/>
                      <w:lang w:eastAsia="zh-CN"/>
                    </w:rPr>
                    <w:t>，</w:t>
                  </w:r>
                  <w:r>
                    <w:rPr>
                      <w:sz w:val="21"/>
                      <w:szCs w:val="21"/>
                      <w:u w:val="none"/>
                    </w:rPr>
                    <w:t>NH</w:t>
                  </w:r>
                  <w:r>
                    <w:rPr>
                      <w:sz w:val="21"/>
                      <w:szCs w:val="21"/>
                      <w:u w:val="none"/>
                      <w:vertAlign w:val="subscript"/>
                    </w:rPr>
                    <w:t>3</w:t>
                  </w:r>
                  <w:r>
                    <w:rPr>
                      <w:sz w:val="21"/>
                      <w:szCs w:val="21"/>
                      <w:u w:val="none"/>
                    </w:rPr>
                    <w:t>-N＜35mg/L</w:t>
                  </w:r>
                </w:p>
                <w:p w14:paraId="5A35F079">
                  <w:pPr>
                    <w:ind w:firstLine="0"/>
                    <w:jc w:val="center"/>
                    <w:rPr>
                      <w:sz w:val="21"/>
                      <w:szCs w:val="21"/>
                      <w:u w:val="none"/>
                    </w:rPr>
                  </w:pPr>
                  <w:r>
                    <w:rPr>
                      <w:sz w:val="21"/>
                      <w:szCs w:val="21"/>
                      <w:u w:val="none"/>
                    </w:rPr>
                    <w:t>产生量：COD＜0.6kg/d</w:t>
                  </w:r>
                  <w:r>
                    <w:rPr>
                      <w:rFonts w:hint="eastAsia"/>
                      <w:sz w:val="21"/>
                      <w:szCs w:val="21"/>
                      <w:u w:val="none"/>
                      <w:lang w:eastAsia="zh-CN"/>
                    </w:rPr>
                    <w:t>，</w:t>
                  </w:r>
                  <w:r>
                    <w:rPr>
                      <w:sz w:val="21"/>
                      <w:szCs w:val="21"/>
                      <w:u w:val="none"/>
                    </w:rPr>
                    <w:t>BOD</w:t>
                  </w:r>
                  <w:r>
                    <w:rPr>
                      <w:sz w:val="21"/>
                      <w:szCs w:val="21"/>
                      <w:u w:val="none"/>
                      <w:vertAlign w:val="subscript"/>
                    </w:rPr>
                    <w:t>5</w:t>
                  </w:r>
                  <w:r>
                    <w:rPr>
                      <w:sz w:val="21"/>
                      <w:szCs w:val="21"/>
                      <w:u w:val="none"/>
                    </w:rPr>
                    <w:t>＜0.45kg/d</w:t>
                  </w:r>
                  <w:r>
                    <w:rPr>
                      <w:rFonts w:hint="eastAsia"/>
                      <w:sz w:val="21"/>
                      <w:szCs w:val="21"/>
                      <w:u w:val="none"/>
                      <w:lang w:eastAsia="zh-CN"/>
                    </w:rPr>
                    <w:t>，</w:t>
                  </w:r>
                  <w:r>
                    <w:rPr>
                      <w:sz w:val="21"/>
                      <w:szCs w:val="21"/>
                      <w:u w:val="none"/>
                    </w:rPr>
                    <w:t>NH</w:t>
                  </w:r>
                  <w:r>
                    <w:rPr>
                      <w:sz w:val="21"/>
                      <w:szCs w:val="21"/>
                      <w:u w:val="none"/>
                      <w:vertAlign w:val="subscript"/>
                    </w:rPr>
                    <w:t>3</w:t>
                  </w:r>
                  <w:r>
                    <w:rPr>
                      <w:sz w:val="21"/>
                      <w:szCs w:val="21"/>
                      <w:u w:val="none"/>
                    </w:rPr>
                    <w:t>-N＜0.05kg/d</w:t>
                  </w:r>
                </w:p>
              </w:tc>
              <w:tc>
                <w:tcPr>
                  <w:tcW w:w="2057" w:type="dxa"/>
                  <w:tcMar>
                    <w:left w:w="28" w:type="dxa"/>
                    <w:right w:w="28" w:type="dxa"/>
                  </w:tcMar>
                  <w:vAlign w:val="center"/>
                </w:tcPr>
                <w:p w14:paraId="185659FF">
                  <w:pPr>
                    <w:adjustRightInd w:val="0"/>
                    <w:snapToGrid w:val="0"/>
                    <w:ind w:firstLine="0"/>
                    <w:jc w:val="center"/>
                    <w:rPr>
                      <w:rFonts w:hint="default"/>
                      <w:sz w:val="21"/>
                      <w:szCs w:val="21"/>
                      <w:u w:val="none"/>
                      <w:lang w:val="en-US" w:eastAsia="zh-CN"/>
                    </w:rPr>
                  </w:pPr>
                  <w:r>
                    <w:rPr>
                      <w:rFonts w:hint="eastAsia"/>
                      <w:sz w:val="21"/>
                      <w:szCs w:val="21"/>
                      <w:u w:val="none"/>
                    </w:rPr>
                    <w:t>使用站内现有化粪池处理</w:t>
                  </w:r>
                  <w:r>
                    <w:rPr>
                      <w:rFonts w:hint="eastAsia"/>
                      <w:sz w:val="21"/>
                      <w:szCs w:val="21"/>
                      <w:u w:val="none"/>
                      <w:lang w:val="en-US" w:eastAsia="zh-CN"/>
                    </w:rPr>
                    <w:t>用于站区绿化，不外排</w:t>
                  </w:r>
                </w:p>
              </w:tc>
            </w:tr>
            <w:tr w14:paraId="796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restart"/>
                  <w:tcMar>
                    <w:left w:w="28" w:type="dxa"/>
                    <w:right w:w="28" w:type="dxa"/>
                  </w:tcMar>
                  <w:vAlign w:val="center"/>
                </w:tcPr>
                <w:p w14:paraId="74219DBB">
                  <w:pPr>
                    <w:ind w:firstLine="0"/>
                    <w:jc w:val="center"/>
                    <w:rPr>
                      <w:sz w:val="21"/>
                      <w:szCs w:val="21"/>
                      <w:u w:val="none"/>
                    </w:rPr>
                  </w:pPr>
                  <w:r>
                    <w:rPr>
                      <w:sz w:val="21"/>
                      <w:szCs w:val="21"/>
                      <w:u w:val="none"/>
                    </w:rPr>
                    <w:t>固体</w:t>
                  </w:r>
                </w:p>
                <w:p w14:paraId="5C834280">
                  <w:pPr>
                    <w:ind w:firstLine="0"/>
                    <w:jc w:val="center"/>
                    <w:rPr>
                      <w:sz w:val="21"/>
                      <w:szCs w:val="21"/>
                      <w:u w:val="none"/>
                    </w:rPr>
                  </w:pPr>
                  <w:r>
                    <w:rPr>
                      <w:sz w:val="21"/>
                      <w:szCs w:val="21"/>
                      <w:u w:val="none"/>
                    </w:rPr>
                    <w:t>废物</w:t>
                  </w:r>
                </w:p>
              </w:tc>
              <w:tc>
                <w:tcPr>
                  <w:tcW w:w="1737" w:type="dxa"/>
                  <w:tcMar>
                    <w:left w:w="28" w:type="dxa"/>
                    <w:right w:w="28" w:type="dxa"/>
                  </w:tcMar>
                  <w:vAlign w:val="center"/>
                </w:tcPr>
                <w:p w14:paraId="3F5A14AD">
                  <w:pPr>
                    <w:ind w:firstLine="0"/>
                    <w:jc w:val="center"/>
                    <w:rPr>
                      <w:sz w:val="21"/>
                      <w:szCs w:val="21"/>
                      <w:u w:val="none"/>
                      <w:lang w:eastAsia="zh-CN"/>
                    </w:rPr>
                  </w:pPr>
                  <w:r>
                    <w:rPr>
                      <w:sz w:val="21"/>
                      <w:szCs w:val="21"/>
                      <w:u w:val="none"/>
                      <w:lang w:eastAsia="zh-CN"/>
                    </w:rPr>
                    <w:t>土方开挖、设备安装</w:t>
                  </w:r>
                  <w:r>
                    <w:rPr>
                      <w:rFonts w:hint="eastAsia"/>
                      <w:sz w:val="21"/>
                      <w:szCs w:val="21"/>
                      <w:u w:val="none"/>
                      <w:lang w:eastAsia="zh-CN"/>
                    </w:rPr>
                    <w:t>、设备拆除</w:t>
                  </w:r>
                </w:p>
              </w:tc>
              <w:tc>
                <w:tcPr>
                  <w:tcW w:w="1240" w:type="dxa"/>
                  <w:tcMar>
                    <w:left w:w="28" w:type="dxa"/>
                    <w:right w:w="28" w:type="dxa"/>
                  </w:tcMar>
                  <w:vAlign w:val="center"/>
                </w:tcPr>
                <w:p w14:paraId="305D6DD0">
                  <w:pPr>
                    <w:ind w:firstLine="0"/>
                    <w:jc w:val="center"/>
                    <w:rPr>
                      <w:sz w:val="21"/>
                      <w:szCs w:val="21"/>
                      <w:u w:val="none"/>
                      <w:lang w:eastAsia="zh-CN"/>
                    </w:rPr>
                  </w:pPr>
                  <w:r>
                    <w:rPr>
                      <w:sz w:val="21"/>
                      <w:szCs w:val="21"/>
                      <w:u w:val="none"/>
                      <w:lang w:eastAsia="zh-CN"/>
                    </w:rPr>
                    <w:t>土石方</w:t>
                  </w:r>
                </w:p>
                <w:p w14:paraId="727CDA84">
                  <w:pPr>
                    <w:ind w:firstLine="0"/>
                    <w:jc w:val="center"/>
                    <w:rPr>
                      <w:sz w:val="21"/>
                      <w:szCs w:val="21"/>
                      <w:u w:val="none"/>
                      <w:lang w:eastAsia="zh-CN"/>
                    </w:rPr>
                  </w:pPr>
                  <w:r>
                    <w:rPr>
                      <w:sz w:val="21"/>
                      <w:szCs w:val="21"/>
                      <w:u w:val="none"/>
                      <w:lang w:eastAsia="zh-CN"/>
                    </w:rPr>
                    <w:t>废弃包装物</w:t>
                  </w:r>
                </w:p>
                <w:p w14:paraId="34F56F1D">
                  <w:pPr>
                    <w:ind w:firstLine="0"/>
                    <w:jc w:val="center"/>
                    <w:rPr>
                      <w:sz w:val="21"/>
                      <w:szCs w:val="21"/>
                      <w:u w:val="none"/>
                      <w:lang w:eastAsia="zh-CN"/>
                    </w:rPr>
                  </w:pPr>
                  <w:r>
                    <w:rPr>
                      <w:rFonts w:hint="eastAsia"/>
                      <w:sz w:val="21"/>
                      <w:szCs w:val="21"/>
                      <w:u w:val="none"/>
                      <w:lang w:eastAsia="zh-CN"/>
                    </w:rPr>
                    <w:t>拆除设备建筑垃圾</w:t>
                  </w:r>
                </w:p>
              </w:tc>
              <w:tc>
                <w:tcPr>
                  <w:tcW w:w="2731" w:type="dxa"/>
                  <w:tcMar>
                    <w:left w:w="28" w:type="dxa"/>
                    <w:right w:w="28" w:type="dxa"/>
                  </w:tcMar>
                  <w:vAlign w:val="center"/>
                </w:tcPr>
                <w:p w14:paraId="1D2AFA60">
                  <w:pPr>
                    <w:ind w:firstLine="0"/>
                    <w:jc w:val="center"/>
                    <w:rPr>
                      <w:sz w:val="21"/>
                      <w:szCs w:val="21"/>
                      <w:u w:val="none"/>
                    </w:rPr>
                  </w:pPr>
                  <w:r>
                    <w:rPr>
                      <w:sz w:val="21"/>
                      <w:szCs w:val="21"/>
                      <w:u w:val="none"/>
                    </w:rPr>
                    <w:t>少量</w:t>
                  </w:r>
                </w:p>
              </w:tc>
              <w:tc>
                <w:tcPr>
                  <w:tcW w:w="2057" w:type="dxa"/>
                  <w:tcMar>
                    <w:left w:w="28" w:type="dxa"/>
                    <w:right w:w="28" w:type="dxa"/>
                  </w:tcMar>
                  <w:vAlign w:val="center"/>
                </w:tcPr>
                <w:p w14:paraId="68A255A9">
                  <w:pPr>
                    <w:ind w:firstLine="0"/>
                    <w:jc w:val="center"/>
                    <w:rPr>
                      <w:sz w:val="21"/>
                      <w:szCs w:val="21"/>
                      <w:u w:val="none"/>
                    </w:rPr>
                  </w:pPr>
                  <w:r>
                    <w:rPr>
                      <w:sz w:val="21"/>
                      <w:szCs w:val="21"/>
                      <w:u w:val="none"/>
                    </w:rPr>
                    <w:t>少量</w:t>
                  </w:r>
                </w:p>
              </w:tc>
            </w:tr>
            <w:tr w14:paraId="613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Mar>
                    <w:left w:w="28" w:type="dxa"/>
                    <w:right w:w="28" w:type="dxa"/>
                  </w:tcMar>
                  <w:vAlign w:val="center"/>
                </w:tcPr>
                <w:p w14:paraId="25937EA3">
                  <w:pPr>
                    <w:ind w:firstLine="480"/>
                    <w:jc w:val="center"/>
                    <w:rPr>
                      <w:sz w:val="21"/>
                      <w:szCs w:val="21"/>
                      <w:u w:val="none"/>
                    </w:rPr>
                  </w:pPr>
                </w:p>
              </w:tc>
              <w:tc>
                <w:tcPr>
                  <w:tcW w:w="1737" w:type="dxa"/>
                  <w:tcMar>
                    <w:left w:w="28" w:type="dxa"/>
                    <w:right w:w="28" w:type="dxa"/>
                  </w:tcMar>
                  <w:vAlign w:val="center"/>
                </w:tcPr>
                <w:p w14:paraId="32D9AA45">
                  <w:pPr>
                    <w:ind w:firstLine="0"/>
                    <w:jc w:val="center"/>
                    <w:rPr>
                      <w:sz w:val="21"/>
                      <w:szCs w:val="21"/>
                      <w:u w:val="none"/>
                      <w:lang w:eastAsia="zh-CN"/>
                    </w:rPr>
                  </w:pPr>
                  <w:r>
                    <w:rPr>
                      <w:sz w:val="21"/>
                      <w:szCs w:val="21"/>
                      <w:u w:val="none"/>
                      <w:lang w:eastAsia="zh-CN"/>
                    </w:rPr>
                    <w:t>施工人员（约30人，0.5kg/人·d）</w:t>
                  </w:r>
                </w:p>
              </w:tc>
              <w:tc>
                <w:tcPr>
                  <w:tcW w:w="1240" w:type="dxa"/>
                  <w:tcMar>
                    <w:left w:w="28" w:type="dxa"/>
                    <w:right w:w="28" w:type="dxa"/>
                  </w:tcMar>
                  <w:vAlign w:val="center"/>
                </w:tcPr>
                <w:p w14:paraId="7790BE72">
                  <w:pPr>
                    <w:ind w:firstLine="0"/>
                    <w:jc w:val="center"/>
                    <w:rPr>
                      <w:sz w:val="21"/>
                      <w:szCs w:val="21"/>
                      <w:u w:val="none"/>
                      <w:lang w:eastAsia="zh-CN"/>
                    </w:rPr>
                  </w:pPr>
                  <w:r>
                    <w:rPr>
                      <w:sz w:val="21"/>
                      <w:szCs w:val="21"/>
                      <w:u w:val="none"/>
                      <w:lang w:eastAsia="zh-CN"/>
                    </w:rPr>
                    <w:t>生活垃圾</w:t>
                  </w:r>
                </w:p>
              </w:tc>
              <w:tc>
                <w:tcPr>
                  <w:tcW w:w="2731" w:type="dxa"/>
                  <w:tcMar>
                    <w:left w:w="28" w:type="dxa"/>
                    <w:right w:w="28" w:type="dxa"/>
                  </w:tcMar>
                  <w:vAlign w:val="center"/>
                </w:tcPr>
                <w:p w14:paraId="06A580A8">
                  <w:pPr>
                    <w:ind w:firstLine="0"/>
                    <w:jc w:val="center"/>
                    <w:rPr>
                      <w:sz w:val="21"/>
                      <w:szCs w:val="21"/>
                      <w:u w:val="none"/>
                      <w:lang w:eastAsia="zh-CN"/>
                    </w:rPr>
                  </w:pPr>
                  <w:r>
                    <w:rPr>
                      <w:sz w:val="21"/>
                      <w:szCs w:val="21"/>
                      <w:u w:val="none"/>
                      <w:lang w:eastAsia="zh-CN"/>
                    </w:rPr>
                    <w:t>15kg/d</w:t>
                  </w:r>
                </w:p>
              </w:tc>
              <w:tc>
                <w:tcPr>
                  <w:tcW w:w="2057" w:type="dxa"/>
                  <w:tcMar>
                    <w:left w:w="28" w:type="dxa"/>
                    <w:right w:w="28" w:type="dxa"/>
                  </w:tcMar>
                  <w:vAlign w:val="center"/>
                </w:tcPr>
                <w:p w14:paraId="235895DC">
                  <w:pPr>
                    <w:ind w:firstLine="0"/>
                    <w:jc w:val="center"/>
                    <w:rPr>
                      <w:sz w:val="21"/>
                      <w:szCs w:val="21"/>
                      <w:u w:val="none"/>
                      <w:lang w:eastAsia="zh-CN"/>
                    </w:rPr>
                  </w:pPr>
                  <w:r>
                    <w:rPr>
                      <w:sz w:val="21"/>
                      <w:szCs w:val="21"/>
                      <w:u w:val="none"/>
                      <w:lang w:eastAsia="zh-CN"/>
                    </w:rPr>
                    <w:t>15kg/d</w:t>
                  </w:r>
                </w:p>
              </w:tc>
            </w:tr>
            <w:tr w14:paraId="6391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Mar>
                    <w:left w:w="28" w:type="dxa"/>
                    <w:right w:w="28" w:type="dxa"/>
                  </w:tcMar>
                  <w:vAlign w:val="center"/>
                </w:tcPr>
                <w:p w14:paraId="719CDE05">
                  <w:pPr>
                    <w:ind w:firstLine="0"/>
                    <w:jc w:val="center"/>
                    <w:rPr>
                      <w:sz w:val="21"/>
                      <w:szCs w:val="21"/>
                      <w:u w:val="none"/>
                      <w:lang w:eastAsia="zh-CN"/>
                    </w:rPr>
                  </w:pPr>
                  <w:r>
                    <w:rPr>
                      <w:sz w:val="21"/>
                      <w:szCs w:val="21"/>
                      <w:u w:val="none"/>
                      <w:lang w:eastAsia="zh-CN"/>
                    </w:rPr>
                    <w:t>噪声</w:t>
                  </w:r>
                </w:p>
              </w:tc>
              <w:tc>
                <w:tcPr>
                  <w:tcW w:w="1737" w:type="dxa"/>
                  <w:tcMar>
                    <w:left w:w="28" w:type="dxa"/>
                    <w:right w:w="28" w:type="dxa"/>
                  </w:tcMar>
                  <w:vAlign w:val="center"/>
                </w:tcPr>
                <w:p w14:paraId="2D2FFCA1">
                  <w:pPr>
                    <w:ind w:firstLine="0"/>
                    <w:jc w:val="center"/>
                    <w:rPr>
                      <w:sz w:val="21"/>
                      <w:szCs w:val="21"/>
                      <w:u w:val="none"/>
                      <w:lang w:eastAsia="zh-CN"/>
                    </w:rPr>
                  </w:pPr>
                  <w:r>
                    <w:rPr>
                      <w:sz w:val="21"/>
                      <w:szCs w:val="21"/>
                      <w:u w:val="none"/>
                      <w:lang w:eastAsia="zh-CN"/>
                    </w:rPr>
                    <w:t>施工机械</w:t>
                  </w:r>
                </w:p>
                <w:p w14:paraId="6A7DFEB3">
                  <w:pPr>
                    <w:ind w:firstLine="0"/>
                    <w:jc w:val="center"/>
                    <w:rPr>
                      <w:sz w:val="21"/>
                      <w:szCs w:val="21"/>
                      <w:u w:val="none"/>
                      <w:lang w:eastAsia="zh-CN"/>
                    </w:rPr>
                  </w:pPr>
                  <w:r>
                    <w:rPr>
                      <w:sz w:val="21"/>
                      <w:szCs w:val="21"/>
                      <w:u w:val="none"/>
                      <w:lang w:eastAsia="zh-CN"/>
                    </w:rPr>
                    <w:t>运输车辆</w:t>
                  </w:r>
                </w:p>
              </w:tc>
              <w:tc>
                <w:tcPr>
                  <w:tcW w:w="1240" w:type="dxa"/>
                  <w:tcMar>
                    <w:left w:w="28" w:type="dxa"/>
                    <w:right w:w="28" w:type="dxa"/>
                  </w:tcMar>
                  <w:vAlign w:val="center"/>
                </w:tcPr>
                <w:p w14:paraId="3201E4BD">
                  <w:pPr>
                    <w:ind w:firstLine="0"/>
                    <w:jc w:val="center"/>
                    <w:rPr>
                      <w:sz w:val="21"/>
                      <w:szCs w:val="21"/>
                      <w:u w:val="none"/>
                      <w:lang w:eastAsia="zh-CN"/>
                    </w:rPr>
                  </w:pPr>
                  <w:r>
                    <w:rPr>
                      <w:sz w:val="21"/>
                      <w:szCs w:val="21"/>
                      <w:u w:val="none"/>
                      <w:lang w:eastAsia="zh-CN"/>
                    </w:rPr>
                    <w:t>噪声</w:t>
                  </w:r>
                </w:p>
              </w:tc>
              <w:tc>
                <w:tcPr>
                  <w:tcW w:w="2731" w:type="dxa"/>
                  <w:tcMar>
                    <w:left w:w="28" w:type="dxa"/>
                    <w:right w:w="28" w:type="dxa"/>
                  </w:tcMar>
                  <w:vAlign w:val="center"/>
                </w:tcPr>
                <w:p w14:paraId="5C62A1E4">
                  <w:pPr>
                    <w:ind w:firstLine="0"/>
                    <w:jc w:val="center"/>
                    <w:rPr>
                      <w:sz w:val="21"/>
                      <w:szCs w:val="21"/>
                      <w:u w:val="none"/>
                      <w:lang w:eastAsia="zh-CN"/>
                    </w:rPr>
                  </w:pPr>
                  <w:r>
                    <w:rPr>
                      <w:rFonts w:hint="eastAsia"/>
                      <w:sz w:val="21"/>
                      <w:szCs w:val="21"/>
                      <w:u w:val="none"/>
                      <w:lang w:val="en-US" w:eastAsia="zh-CN"/>
                    </w:rPr>
                    <w:t>70~86</w:t>
                  </w:r>
                  <w:r>
                    <w:rPr>
                      <w:sz w:val="21"/>
                      <w:szCs w:val="21"/>
                      <w:u w:val="none"/>
                      <w:lang w:eastAsia="zh-CN"/>
                    </w:rPr>
                    <w:t>dB（A）</w:t>
                  </w:r>
                </w:p>
              </w:tc>
              <w:tc>
                <w:tcPr>
                  <w:tcW w:w="2057" w:type="dxa"/>
                  <w:tcMar>
                    <w:left w:w="28" w:type="dxa"/>
                    <w:right w:w="28" w:type="dxa"/>
                  </w:tcMar>
                  <w:vAlign w:val="center"/>
                </w:tcPr>
                <w:p w14:paraId="1AD263A6">
                  <w:pPr>
                    <w:ind w:firstLine="0"/>
                    <w:jc w:val="center"/>
                    <w:rPr>
                      <w:sz w:val="21"/>
                      <w:szCs w:val="21"/>
                      <w:u w:val="none"/>
                      <w:lang w:eastAsia="zh-CN"/>
                    </w:rPr>
                  </w:pPr>
                  <w:r>
                    <w:rPr>
                      <w:sz w:val="21"/>
                      <w:szCs w:val="21"/>
                      <w:u w:val="none"/>
                      <w:lang w:eastAsia="zh-CN"/>
                    </w:rPr>
                    <w:t>施工场界噪声达标</w:t>
                  </w:r>
                </w:p>
              </w:tc>
            </w:tr>
          </w:tbl>
          <w:p w14:paraId="74C12AA9">
            <w:pPr>
              <w:adjustRightInd w:val="0"/>
              <w:snapToGrid w:val="0"/>
              <w:ind w:firstLine="480"/>
              <w:rPr>
                <w:b/>
                <w:bCs/>
                <w:u w:val="none"/>
              </w:rPr>
            </w:pPr>
          </w:p>
          <w:p w14:paraId="4CC21F0F">
            <w:pPr>
              <w:adjustRightInd w:val="0"/>
              <w:snapToGrid w:val="0"/>
              <w:ind w:firstLine="0"/>
              <w:rPr>
                <w:b/>
                <w:bCs/>
                <w:u w:val="none"/>
              </w:rPr>
            </w:pPr>
            <w:r>
              <w:rPr>
                <w:b/>
                <w:bCs/>
                <w:u w:val="none"/>
              </w:rPr>
              <w:t>4.</w:t>
            </w:r>
            <w:r>
              <w:rPr>
                <w:rFonts w:hint="eastAsia"/>
                <w:b/>
                <w:bCs/>
                <w:u w:val="none"/>
              </w:rPr>
              <w:t>3</w:t>
            </w:r>
            <w:r>
              <w:rPr>
                <w:b/>
                <w:bCs/>
                <w:u w:val="none"/>
              </w:rPr>
              <w:t>施工期生态环境影响分析</w:t>
            </w:r>
          </w:p>
          <w:p w14:paraId="1A9A3B13">
            <w:pPr>
              <w:adjustRightInd w:val="0"/>
              <w:snapToGrid w:val="0"/>
              <w:ind w:firstLine="0"/>
              <w:rPr>
                <w:bCs/>
                <w:u w:val="none"/>
              </w:rPr>
            </w:pPr>
            <w:r>
              <w:rPr>
                <w:bCs/>
                <w:u w:val="none"/>
              </w:rPr>
              <w:t>4.</w:t>
            </w:r>
            <w:r>
              <w:rPr>
                <w:rFonts w:hint="eastAsia"/>
                <w:bCs/>
                <w:u w:val="none"/>
              </w:rPr>
              <w:t>3</w:t>
            </w:r>
            <w:r>
              <w:rPr>
                <w:bCs/>
                <w:u w:val="none"/>
              </w:rPr>
              <w:t>.1施工期</w:t>
            </w:r>
            <w:r>
              <w:rPr>
                <w:rFonts w:hint="eastAsia"/>
                <w:bCs/>
                <w:u w:val="none"/>
              </w:rPr>
              <w:t>的</w:t>
            </w:r>
            <w:r>
              <w:rPr>
                <w:bCs/>
                <w:u w:val="none"/>
              </w:rPr>
              <w:t>生态影响分析</w:t>
            </w:r>
          </w:p>
          <w:p w14:paraId="472B0552">
            <w:pPr>
              <w:adjustRightInd w:val="0"/>
              <w:snapToGrid w:val="0"/>
              <w:ind w:firstLine="480" w:firstLineChars="0"/>
              <w:rPr>
                <w:bCs/>
                <w:color w:val="000000"/>
                <w:szCs w:val="21"/>
                <w:u w:val="none"/>
              </w:rPr>
            </w:pPr>
            <w:r>
              <w:rPr>
                <w:rFonts w:hint="eastAsia"/>
                <w:bCs/>
                <w:color w:val="000000"/>
                <w:szCs w:val="21"/>
                <w:u w:val="none"/>
              </w:rPr>
              <w:t>本工程</w:t>
            </w:r>
            <w:r>
              <w:rPr>
                <w:bCs/>
                <w:color w:val="000000"/>
                <w:szCs w:val="21"/>
                <w:u w:val="none"/>
              </w:rPr>
              <w:t>生态环境影响途径主要是土石方开挖、临时占地及人员施工活动，可能对工程所在区域的土地利用、植被、野生动物等产生一定影响。</w:t>
            </w:r>
          </w:p>
          <w:p w14:paraId="14FEA1E4">
            <w:pPr>
              <w:adjustRightInd w:val="0"/>
              <w:snapToGrid w:val="0"/>
              <w:ind w:firstLine="480" w:firstLineChars="0"/>
              <w:rPr>
                <w:bCs/>
                <w:color w:val="000000"/>
                <w:szCs w:val="21"/>
                <w:u w:val="none"/>
              </w:rPr>
            </w:pPr>
            <w:r>
              <w:rPr>
                <w:bCs/>
                <w:color w:val="000000"/>
                <w:szCs w:val="21"/>
                <w:u w:val="none"/>
              </w:rPr>
              <w:t>a)土地利用影响</w:t>
            </w:r>
          </w:p>
          <w:p w14:paraId="02620E0E">
            <w:pPr>
              <w:adjustRightInd w:val="0"/>
              <w:snapToGrid w:val="0"/>
              <w:ind w:firstLine="480" w:firstLineChars="0"/>
              <w:rPr>
                <w:bCs/>
                <w:color w:val="000000"/>
                <w:szCs w:val="21"/>
                <w:u w:val="none"/>
              </w:rPr>
            </w:pPr>
            <w:r>
              <w:rPr>
                <w:bCs/>
                <w:color w:val="000000"/>
                <w:szCs w:val="21"/>
                <w:u w:val="none"/>
              </w:rPr>
              <w:t>环境影响主要集中于施工期改变土地的使用功能，</w:t>
            </w:r>
            <w:r>
              <w:rPr>
                <w:rFonts w:hint="eastAsia"/>
                <w:bCs/>
                <w:color w:val="000000"/>
                <w:szCs w:val="21"/>
                <w:u w:val="none"/>
                <w:lang w:val="en-US" w:eastAsia="zh-CN"/>
              </w:rPr>
              <w:t>在</w:t>
            </w:r>
            <w:r>
              <w:rPr>
                <w:bCs/>
                <w:color w:val="000000"/>
                <w:szCs w:val="21"/>
                <w:u w:val="none"/>
              </w:rPr>
              <w:t>施工后期会</w:t>
            </w:r>
            <w:r>
              <w:rPr>
                <w:rFonts w:hint="eastAsia"/>
                <w:bCs/>
                <w:color w:val="000000"/>
                <w:szCs w:val="21"/>
                <w:u w:val="none"/>
                <w:lang w:val="en-US" w:eastAsia="zh-CN"/>
              </w:rPr>
              <w:t>尽量</w:t>
            </w:r>
            <w:r>
              <w:rPr>
                <w:bCs/>
                <w:color w:val="000000"/>
                <w:szCs w:val="21"/>
                <w:u w:val="none"/>
              </w:rPr>
              <w:t>恢复原有土地利用方式，不会带来明显的土地利用结构与功能变化。</w:t>
            </w:r>
          </w:p>
          <w:p w14:paraId="25580DF9">
            <w:pPr>
              <w:adjustRightInd w:val="0"/>
              <w:snapToGrid w:val="0"/>
              <w:ind w:firstLine="480"/>
              <w:rPr>
                <w:bCs/>
                <w:color w:val="000000"/>
                <w:szCs w:val="21"/>
                <w:u w:val="none"/>
              </w:rPr>
            </w:pPr>
            <w:r>
              <w:rPr>
                <w:bCs/>
                <w:color w:val="000000"/>
                <w:szCs w:val="21"/>
                <w:u w:val="none"/>
              </w:rPr>
              <w:t>b)对植物的影响</w:t>
            </w:r>
          </w:p>
          <w:p w14:paraId="7E5BE2EC">
            <w:pPr>
              <w:adjustRightInd w:val="0"/>
              <w:snapToGrid w:val="0"/>
              <w:ind w:firstLine="480"/>
              <w:rPr>
                <w:color w:val="000000"/>
                <w:kern w:val="0"/>
                <w:szCs w:val="21"/>
                <w:u w:val="none"/>
              </w:rPr>
            </w:pPr>
            <w:r>
              <w:rPr>
                <w:rFonts w:hint="eastAsia"/>
                <w:bCs/>
                <w:color w:val="000000"/>
                <w:szCs w:val="21"/>
                <w:u w:val="none"/>
              </w:rPr>
              <w:t>本工程植被类型主要以</w:t>
            </w:r>
            <w:r>
              <w:rPr>
                <w:rFonts w:hint="eastAsia"/>
                <w:bCs/>
                <w:color w:val="000000"/>
                <w:szCs w:val="21"/>
                <w:u w:val="none"/>
                <w:lang w:val="en-US" w:eastAsia="zh-CN"/>
              </w:rPr>
              <w:t>杂草、次生植被为主</w:t>
            </w:r>
            <w:r>
              <w:rPr>
                <w:rFonts w:hint="eastAsia"/>
                <w:bCs/>
                <w:color w:val="000000"/>
                <w:szCs w:val="21"/>
                <w:u w:val="none"/>
              </w:rPr>
              <w:t>。</w:t>
            </w:r>
            <w:r>
              <w:rPr>
                <w:color w:val="000000"/>
                <w:kern w:val="0"/>
                <w:szCs w:val="21"/>
                <w:u w:val="none"/>
              </w:rPr>
              <w:t>评价范围内没有需要特别保护的</w:t>
            </w:r>
            <w:r>
              <w:rPr>
                <w:rFonts w:hint="eastAsia"/>
                <w:color w:val="000000"/>
                <w:kern w:val="0"/>
                <w:szCs w:val="21"/>
                <w:u w:val="none"/>
                <w:lang w:eastAsia="zh-CN"/>
              </w:rPr>
              <w:t>珍稀</w:t>
            </w:r>
            <w:r>
              <w:rPr>
                <w:color w:val="000000"/>
                <w:kern w:val="0"/>
                <w:szCs w:val="21"/>
                <w:u w:val="none"/>
              </w:rPr>
              <w:t>植物种类。</w:t>
            </w:r>
            <w:r>
              <w:rPr>
                <w:color w:val="000000"/>
                <w:u w:val="none"/>
              </w:rPr>
              <w:t>施工中将严格控制施工范围，减小作业面，减小开挖干扰，加强生态修复，可使植被在较短时间内恢复。项目建设对农作物及林地植被</w:t>
            </w:r>
            <w:r>
              <w:rPr>
                <w:rFonts w:hint="eastAsia"/>
                <w:color w:val="000000"/>
                <w:u w:val="none"/>
                <w:lang w:val="en-US" w:eastAsia="zh-CN"/>
              </w:rPr>
              <w:t>无影响</w:t>
            </w:r>
            <w:r>
              <w:rPr>
                <w:color w:val="000000"/>
                <w:u w:val="none"/>
              </w:rPr>
              <w:t>，造成的生物量与生产力损失较小，施工结束后，对变电站区域及</w:t>
            </w:r>
            <w:r>
              <w:rPr>
                <w:rFonts w:hint="eastAsia"/>
                <w:color w:val="000000"/>
                <w:u w:val="none"/>
                <w:lang w:val="en-US" w:eastAsia="zh-CN"/>
              </w:rPr>
              <w:t>周边区域</w:t>
            </w:r>
            <w:r>
              <w:rPr>
                <w:color w:val="000000"/>
                <w:u w:val="none"/>
              </w:rPr>
              <w:t>进行植树种草绿化，变电站占地区域生态环境将逐渐得到恢复。</w:t>
            </w:r>
          </w:p>
          <w:p w14:paraId="1B6148A0">
            <w:pPr>
              <w:adjustRightInd w:val="0"/>
              <w:snapToGrid w:val="0"/>
              <w:ind w:firstLine="480"/>
              <w:rPr>
                <w:color w:val="000000"/>
                <w:kern w:val="0"/>
                <w:szCs w:val="21"/>
                <w:u w:val="none"/>
              </w:rPr>
            </w:pPr>
            <w:r>
              <w:rPr>
                <w:color w:val="000000"/>
                <w:kern w:val="0"/>
                <w:szCs w:val="21"/>
                <w:u w:val="none"/>
              </w:rPr>
              <w:t>c)对动物的影响</w:t>
            </w:r>
          </w:p>
          <w:p w14:paraId="3F9F24C5">
            <w:pPr>
              <w:adjustRightInd w:val="0"/>
              <w:snapToGrid w:val="0"/>
              <w:ind w:firstLine="480"/>
              <w:rPr>
                <w:color w:val="000000"/>
                <w:u w:val="none"/>
              </w:rPr>
            </w:pPr>
            <w:r>
              <w:rPr>
                <w:bCs/>
                <w:color w:val="000000"/>
                <w:szCs w:val="21"/>
                <w:u w:val="none"/>
              </w:rPr>
              <w:t>项目所在地人类活动较频繁，动物出现较少，未发现大型野生动物，野生动物种类较少，仅存一些鸟类、蛇类、鼠类、蛙类及昆虫类等。</w:t>
            </w:r>
            <w:r>
              <w:rPr>
                <w:rFonts w:hint="eastAsia"/>
                <w:bCs/>
                <w:color w:val="000000"/>
                <w:szCs w:val="21"/>
                <w:u w:val="none"/>
                <w:lang w:val="en-US" w:eastAsia="zh-CN"/>
              </w:rPr>
              <w:t>本工程施工对</w:t>
            </w:r>
            <w:r>
              <w:rPr>
                <w:bCs/>
                <w:color w:val="000000"/>
                <w:szCs w:val="21"/>
                <w:u w:val="none"/>
              </w:rPr>
              <w:t>附近野生动物的影响较小。</w:t>
            </w:r>
          </w:p>
          <w:p w14:paraId="71F3F446">
            <w:pPr>
              <w:adjustRightInd w:val="0"/>
              <w:snapToGrid w:val="0"/>
              <w:ind w:firstLine="0"/>
              <w:rPr>
                <w:bCs/>
                <w:u w:val="none"/>
              </w:rPr>
            </w:pPr>
            <w:r>
              <w:rPr>
                <w:bCs/>
                <w:u w:val="none"/>
              </w:rPr>
              <w:t>4.</w:t>
            </w:r>
            <w:r>
              <w:rPr>
                <w:rFonts w:hint="eastAsia"/>
                <w:bCs/>
                <w:u w:val="none"/>
              </w:rPr>
              <w:t>3</w:t>
            </w:r>
            <w:r>
              <w:rPr>
                <w:bCs/>
                <w:u w:val="none"/>
              </w:rPr>
              <w:t>.2施工期</w:t>
            </w:r>
            <w:r>
              <w:rPr>
                <w:rFonts w:hint="eastAsia"/>
                <w:bCs/>
                <w:u w:val="none"/>
              </w:rPr>
              <w:t>的</w:t>
            </w:r>
            <w:r>
              <w:rPr>
                <w:bCs/>
                <w:u w:val="none"/>
              </w:rPr>
              <w:t>大气环境影响分析</w:t>
            </w:r>
          </w:p>
          <w:p w14:paraId="001F28ED">
            <w:pPr>
              <w:keepNext w:val="0"/>
              <w:keepLines w:val="0"/>
              <w:adjustRightInd w:val="0"/>
              <w:snapToGrid w:val="0"/>
              <w:ind w:firstLine="480"/>
              <w:outlineLvl w:val="9"/>
              <w:rPr>
                <w:u w:val="none"/>
              </w:rPr>
            </w:pPr>
            <w:bookmarkStart w:id="32" w:name="_Toc1151"/>
            <w:bookmarkStart w:id="33" w:name="_Toc12765"/>
            <w:bookmarkStart w:id="34" w:name="_Toc5712"/>
            <w:bookmarkStart w:id="35" w:name="_Toc17973"/>
            <w:bookmarkStart w:id="36" w:name="_Toc28180"/>
            <w:bookmarkStart w:id="37" w:name="_Toc16139"/>
            <w:bookmarkStart w:id="38" w:name="_Toc984"/>
            <w:r>
              <w:rPr>
                <w:bCs/>
                <w:u w:val="none"/>
              </w:rPr>
              <w:t>施工期土地开挖、弃渣堆放、材料及电气设备运输过程产生的扬尘，以及施工机械、机动车排放的废气。同时在运输及堆存建筑材料等过程中会产生扬尘，这些废气都将对空气环境造成一定的影响。</w:t>
            </w:r>
            <w:r>
              <w:rPr>
                <w:u w:val="none"/>
              </w:rPr>
              <w:t>但这种施工产生的悬浮颗粒物粒径较大，产生地面扬尘沉降速度较大，很快落至地面，其影响范围较小局限在施工现场附近。且施工扬尘对周围环境影响是短期的，随着施工</w:t>
            </w:r>
            <w:r>
              <w:rPr>
                <w:rFonts w:hint="eastAsia"/>
                <w:u w:val="none"/>
                <w:lang w:eastAsia="zh-CN"/>
              </w:rPr>
              <w:t>作业</w:t>
            </w:r>
            <w:r>
              <w:rPr>
                <w:u w:val="none"/>
              </w:rPr>
              <w:t>结束而基本恢复原来的水平。</w:t>
            </w:r>
            <w:bookmarkEnd w:id="32"/>
            <w:bookmarkEnd w:id="33"/>
            <w:bookmarkEnd w:id="34"/>
            <w:bookmarkEnd w:id="35"/>
            <w:bookmarkEnd w:id="36"/>
            <w:bookmarkEnd w:id="37"/>
            <w:bookmarkEnd w:id="38"/>
          </w:p>
          <w:p w14:paraId="125CD148">
            <w:pPr>
              <w:keepNext w:val="0"/>
              <w:keepLines w:val="0"/>
              <w:adjustRightInd w:val="0"/>
              <w:snapToGrid w:val="0"/>
              <w:ind w:firstLine="480"/>
              <w:outlineLvl w:val="9"/>
              <w:rPr>
                <w:u w:val="none"/>
              </w:rPr>
            </w:pPr>
            <w:bookmarkStart w:id="39" w:name="_Toc4419"/>
            <w:bookmarkStart w:id="40" w:name="_Toc29165"/>
            <w:bookmarkStart w:id="41" w:name="_Toc134"/>
            <w:bookmarkStart w:id="42" w:name="_Toc9437"/>
            <w:bookmarkStart w:id="43" w:name="_Toc23854"/>
            <w:bookmarkStart w:id="44" w:name="_Toc17466"/>
            <w:bookmarkStart w:id="45" w:name="_Toc9929"/>
            <w:r>
              <w:rPr>
                <w:u w:val="none"/>
              </w:rPr>
              <w:t>a）施工过程中，应当加强对施工现场和物料运输的管理，保持道路清洁，管控料堆和渣土堆放，防治扬尘污染。</w:t>
            </w:r>
            <w:bookmarkEnd w:id="39"/>
            <w:bookmarkEnd w:id="40"/>
            <w:bookmarkEnd w:id="41"/>
            <w:bookmarkEnd w:id="42"/>
            <w:bookmarkEnd w:id="43"/>
            <w:bookmarkEnd w:id="44"/>
            <w:bookmarkEnd w:id="45"/>
          </w:p>
          <w:p w14:paraId="1AC69C27">
            <w:pPr>
              <w:keepNext w:val="0"/>
              <w:keepLines w:val="0"/>
              <w:adjustRightInd w:val="0"/>
              <w:snapToGrid w:val="0"/>
              <w:ind w:firstLine="480"/>
              <w:outlineLvl w:val="9"/>
              <w:rPr>
                <w:u w:val="none"/>
              </w:rPr>
            </w:pPr>
            <w:bookmarkStart w:id="46" w:name="_Toc9681"/>
            <w:bookmarkStart w:id="47" w:name="_Toc5862"/>
            <w:bookmarkStart w:id="48" w:name="_Toc26588"/>
            <w:bookmarkStart w:id="49" w:name="_Toc27823"/>
            <w:bookmarkStart w:id="50" w:name="_Toc26423"/>
            <w:bookmarkStart w:id="51" w:name="_Toc1134"/>
            <w:bookmarkStart w:id="52" w:name="_Toc13889"/>
            <w:bookmarkStart w:id="53" w:name="_Toc23746"/>
            <w:r>
              <w:rPr>
                <w:u w:val="none"/>
              </w:rPr>
              <w:t>b）</w:t>
            </w:r>
            <w:bookmarkEnd w:id="46"/>
            <w:r>
              <w:rPr>
                <w:u w:val="none"/>
              </w:rPr>
              <w:t>施工过程中，对易起尘的临时堆土、运输过程中的</w:t>
            </w:r>
            <w:r>
              <w:rPr>
                <w:rFonts w:hint="eastAsia"/>
                <w:u w:val="none"/>
              </w:rPr>
              <w:t>散装物料</w:t>
            </w:r>
            <w:r>
              <w:rPr>
                <w:u w:val="none"/>
              </w:rPr>
              <w:t>应采用密闭式防尘布（网）进行苫盖，施工面集中且有条件的地方宜采取洒水降尘等有效措施，减少易造成大气污染的施工作业。</w:t>
            </w:r>
            <w:bookmarkEnd w:id="47"/>
            <w:bookmarkEnd w:id="48"/>
            <w:bookmarkEnd w:id="49"/>
            <w:bookmarkEnd w:id="50"/>
            <w:bookmarkEnd w:id="51"/>
            <w:bookmarkEnd w:id="52"/>
            <w:bookmarkEnd w:id="53"/>
          </w:p>
          <w:p w14:paraId="50797F78">
            <w:pPr>
              <w:autoSpaceDE w:val="0"/>
              <w:autoSpaceDN w:val="0"/>
              <w:adjustRightInd w:val="0"/>
              <w:snapToGrid w:val="0"/>
              <w:ind w:firstLine="480"/>
              <w:rPr>
                <w:u w:val="none"/>
              </w:rPr>
            </w:pPr>
            <w:bookmarkStart w:id="54" w:name="_Toc28960"/>
            <w:r>
              <w:rPr>
                <w:u w:val="none"/>
              </w:rPr>
              <w:t>c）</w:t>
            </w:r>
            <w:bookmarkEnd w:id="54"/>
            <w:r>
              <w:rPr>
                <w:u w:val="none"/>
              </w:rPr>
              <w:t>施工过程使用运行状态良好的施工机械和施工设备，废气</w:t>
            </w:r>
            <w:r>
              <w:rPr>
                <w:rFonts w:hint="eastAsia"/>
                <w:u w:val="none"/>
                <w:lang w:eastAsia="zh-CN"/>
              </w:rPr>
              <w:t>排放</w:t>
            </w:r>
            <w:r>
              <w:rPr>
                <w:u w:val="none"/>
              </w:rPr>
              <w:t>量较少。</w:t>
            </w:r>
          </w:p>
          <w:p w14:paraId="6A15A9D4">
            <w:pPr>
              <w:snapToGrid w:val="0"/>
              <w:spacing w:line="360" w:lineRule="auto"/>
              <w:ind w:firstLine="480" w:firstLineChars="200"/>
              <w:rPr>
                <w:sz w:val="24"/>
              </w:rPr>
            </w:pPr>
            <w:r>
              <w:rPr>
                <w:rFonts w:hint="eastAsia"/>
                <w:sz w:val="24"/>
              </w:rPr>
              <w:t>施工期扬尘执行《大气污染物综合排放标准》（GB16297-1996）中的有关标准；运营期无大气污染物产生。具体标准限值详见下表：</w:t>
            </w:r>
          </w:p>
          <w:p w14:paraId="17C6B358">
            <w:pPr>
              <w:snapToGrid w:val="0"/>
              <w:jc w:val="center"/>
              <w:rPr>
                <w:sz w:val="24"/>
              </w:rPr>
            </w:pPr>
            <w:r>
              <w:rPr>
                <w:b/>
                <w:szCs w:val="21"/>
              </w:rPr>
              <w:t>表</w:t>
            </w:r>
            <w:r>
              <w:rPr>
                <w:rFonts w:hint="eastAsia"/>
                <w:b/>
                <w:szCs w:val="21"/>
                <w:lang w:val="en-US" w:eastAsia="zh-CN"/>
              </w:rPr>
              <w:t>4.3</w:t>
            </w:r>
            <w:r>
              <w:rPr>
                <w:b/>
                <w:szCs w:val="21"/>
              </w:rPr>
              <w:t>-</w:t>
            </w:r>
            <w:r>
              <w:rPr>
                <w:rFonts w:hint="eastAsia"/>
                <w:b/>
                <w:szCs w:val="21"/>
              </w:rPr>
              <w:t>1大气污染物综合排放标准（GB16297-1996）（摘录）</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1"/>
              <w:gridCol w:w="2387"/>
              <w:gridCol w:w="4545"/>
            </w:tblGrid>
            <w:tr w14:paraId="64F01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52" w:type="dxa"/>
                  <w:vAlign w:val="center"/>
                </w:tcPr>
                <w:p w14:paraId="6C87BDE9">
                  <w:pPr>
                    <w:ind w:firstLine="0"/>
                    <w:jc w:val="center"/>
                    <w:rPr>
                      <w:rFonts w:ascii="Times New Roman" w:hAnsi="Times New Roman" w:eastAsia="宋体" w:cs="Times New Roman"/>
                      <w:b/>
                      <w:bCs/>
                      <w:sz w:val="21"/>
                      <w:szCs w:val="21"/>
                      <w:u w:val="none"/>
                      <w:lang w:eastAsia="zh-CN"/>
                    </w:rPr>
                  </w:pPr>
                  <w:r>
                    <w:rPr>
                      <w:rFonts w:ascii="Times New Roman" w:hAnsi="Times New Roman" w:eastAsia="宋体" w:cs="Times New Roman"/>
                      <w:b/>
                      <w:bCs/>
                      <w:sz w:val="21"/>
                      <w:szCs w:val="21"/>
                      <w:u w:val="none"/>
                      <w:lang w:eastAsia="zh-CN"/>
                    </w:rPr>
                    <w:t>执行区域</w:t>
                  </w:r>
                </w:p>
              </w:tc>
              <w:tc>
                <w:tcPr>
                  <w:tcW w:w="2231" w:type="dxa"/>
                  <w:vAlign w:val="center"/>
                </w:tcPr>
                <w:p w14:paraId="0DD6F822">
                  <w:pPr>
                    <w:ind w:firstLine="0"/>
                    <w:jc w:val="center"/>
                    <w:rPr>
                      <w:rFonts w:ascii="Times New Roman" w:hAnsi="Times New Roman" w:eastAsia="宋体" w:cs="Times New Roman"/>
                      <w:b/>
                      <w:bCs/>
                      <w:sz w:val="21"/>
                      <w:szCs w:val="21"/>
                      <w:u w:val="none"/>
                      <w:lang w:eastAsia="zh-CN"/>
                    </w:rPr>
                  </w:pPr>
                  <w:r>
                    <w:rPr>
                      <w:rFonts w:ascii="Times New Roman" w:hAnsi="Times New Roman" w:eastAsia="宋体" w:cs="Times New Roman"/>
                      <w:b/>
                      <w:bCs/>
                      <w:sz w:val="21"/>
                      <w:szCs w:val="21"/>
                      <w:u w:val="none"/>
                      <w:lang w:eastAsia="zh-CN"/>
                    </w:rPr>
                    <w:t>污染物</w:t>
                  </w:r>
                </w:p>
              </w:tc>
              <w:tc>
                <w:tcPr>
                  <w:tcW w:w="4248" w:type="dxa"/>
                  <w:vAlign w:val="center"/>
                </w:tcPr>
                <w:p w14:paraId="0981C1E6">
                  <w:pPr>
                    <w:ind w:firstLine="0"/>
                    <w:jc w:val="center"/>
                    <w:rPr>
                      <w:rFonts w:ascii="Times New Roman" w:hAnsi="Times New Roman" w:eastAsia="宋体" w:cs="Times New Roman"/>
                      <w:b/>
                      <w:bCs/>
                      <w:sz w:val="21"/>
                      <w:szCs w:val="21"/>
                      <w:u w:val="none"/>
                      <w:lang w:eastAsia="zh-CN"/>
                    </w:rPr>
                  </w:pPr>
                  <w:r>
                    <w:rPr>
                      <w:rFonts w:ascii="Times New Roman" w:hAnsi="Times New Roman" w:eastAsia="宋体" w:cs="Times New Roman"/>
                      <w:b/>
                      <w:bCs/>
                      <w:sz w:val="21"/>
                      <w:szCs w:val="21"/>
                      <w:u w:val="none"/>
                      <w:lang w:eastAsia="zh-CN"/>
                    </w:rPr>
                    <w:t>无组织排放监控浓度限值</w:t>
                  </w:r>
                </w:p>
              </w:tc>
            </w:tr>
            <w:tr w14:paraId="4A743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52" w:type="dxa"/>
                  <w:vAlign w:val="center"/>
                </w:tcPr>
                <w:p w14:paraId="5EDDCB0B">
                  <w:pPr>
                    <w:ind w:firstLine="0"/>
                    <w:jc w:val="center"/>
                    <w:rPr>
                      <w:rFonts w:ascii="Times New Roman" w:hAnsi="Times New Roman" w:eastAsia="宋体" w:cs="Times New Roman"/>
                      <w:sz w:val="21"/>
                      <w:szCs w:val="21"/>
                      <w:u w:val="none"/>
                      <w:lang w:eastAsia="zh-CN"/>
                    </w:rPr>
                  </w:pPr>
                  <w:r>
                    <w:rPr>
                      <w:rFonts w:ascii="Times New Roman" w:hAnsi="Times New Roman" w:eastAsia="宋体" w:cs="Times New Roman"/>
                      <w:sz w:val="21"/>
                      <w:szCs w:val="21"/>
                      <w:u w:val="none"/>
                      <w:lang w:eastAsia="zh-CN"/>
                    </w:rPr>
                    <w:t>施工厂界</w:t>
                  </w:r>
                </w:p>
              </w:tc>
              <w:tc>
                <w:tcPr>
                  <w:tcW w:w="2231" w:type="dxa"/>
                  <w:vAlign w:val="center"/>
                </w:tcPr>
                <w:p w14:paraId="1ABBBDAA">
                  <w:pPr>
                    <w:ind w:firstLine="0"/>
                    <w:jc w:val="center"/>
                    <w:rPr>
                      <w:rFonts w:ascii="Times New Roman" w:hAnsi="Times New Roman" w:eastAsia="宋体" w:cs="Times New Roman"/>
                      <w:sz w:val="21"/>
                      <w:szCs w:val="21"/>
                      <w:u w:val="none"/>
                      <w:lang w:eastAsia="zh-CN"/>
                    </w:rPr>
                  </w:pPr>
                  <w:r>
                    <w:rPr>
                      <w:rFonts w:ascii="Times New Roman" w:hAnsi="Times New Roman" w:eastAsia="宋体" w:cs="Times New Roman"/>
                      <w:sz w:val="21"/>
                      <w:szCs w:val="21"/>
                      <w:u w:val="none"/>
                      <w:lang w:eastAsia="zh-CN"/>
                    </w:rPr>
                    <w:t>颗粒物</w:t>
                  </w:r>
                </w:p>
              </w:tc>
              <w:tc>
                <w:tcPr>
                  <w:tcW w:w="4248" w:type="dxa"/>
                  <w:vAlign w:val="center"/>
                </w:tcPr>
                <w:p w14:paraId="7526D48E">
                  <w:pPr>
                    <w:ind w:firstLine="0"/>
                    <w:jc w:val="center"/>
                    <w:rPr>
                      <w:rFonts w:hint="eastAsia" w:ascii="Times New Roman" w:hAnsi="Times New Roman" w:eastAsia="宋体" w:cs="Times New Roman"/>
                      <w:sz w:val="21"/>
                      <w:szCs w:val="21"/>
                      <w:u w:val="none"/>
                      <w:lang w:eastAsia="zh-CN"/>
                    </w:rPr>
                  </w:pPr>
                  <w:r>
                    <w:rPr>
                      <w:rFonts w:ascii="Times New Roman" w:hAnsi="Times New Roman" w:eastAsia="宋体" w:cs="Times New Roman"/>
                      <w:sz w:val="21"/>
                      <w:szCs w:val="21"/>
                      <w:u w:val="none"/>
                      <w:lang w:eastAsia="zh-CN"/>
                    </w:rPr>
                    <w:t>1.0m</w:t>
                  </w:r>
                  <w:r>
                    <w:rPr>
                      <w:rFonts w:hint="eastAsia" w:ascii="Times New Roman" w:hAnsi="Times New Roman" w:eastAsia="宋体" w:cs="Times New Roman"/>
                      <w:sz w:val="21"/>
                      <w:szCs w:val="21"/>
                      <w:u w:val="none"/>
                      <w:lang w:eastAsia="zh-CN"/>
                    </w:rPr>
                    <w:t>g</w:t>
                  </w:r>
                  <w:r>
                    <w:rPr>
                      <w:rFonts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eastAsia="zh-CN"/>
                    </w:rPr>
                    <w:t>m³</w:t>
                  </w:r>
                </w:p>
              </w:tc>
            </w:tr>
          </w:tbl>
          <w:p w14:paraId="3F3310EA">
            <w:pPr>
              <w:autoSpaceDE w:val="0"/>
              <w:autoSpaceDN w:val="0"/>
              <w:adjustRightInd w:val="0"/>
              <w:snapToGrid w:val="0"/>
              <w:ind w:firstLine="480"/>
              <w:rPr>
                <w:u w:val="none"/>
              </w:rPr>
            </w:pPr>
          </w:p>
          <w:p w14:paraId="643FC3AF">
            <w:pPr>
              <w:adjustRightInd w:val="0"/>
              <w:snapToGrid w:val="0"/>
              <w:ind w:firstLine="0"/>
              <w:rPr>
                <w:bCs/>
                <w:u w:val="none"/>
              </w:rPr>
            </w:pPr>
            <w:r>
              <w:rPr>
                <w:u w:val="none"/>
              </w:rPr>
              <w:t>4.</w:t>
            </w:r>
            <w:r>
              <w:rPr>
                <w:rFonts w:hint="eastAsia"/>
                <w:u w:val="none"/>
              </w:rPr>
              <w:t>3</w:t>
            </w:r>
            <w:r>
              <w:rPr>
                <w:u w:val="none"/>
              </w:rPr>
              <w:t>.3</w:t>
            </w:r>
            <w:r>
              <w:rPr>
                <w:bCs/>
                <w:u w:val="none"/>
              </w:rPr>
              <w:t>施工期水环境影响分析</w:t>
            </w:r>
          </w:p>
          <w:p w14:paraId="2D542D6B">
            <w:pPr>
              <w:adjustRightInd w:val="0"/>
              <w:snapToGrid w:val="0"/>
              <w:ind w:firstLine="480"/>
              <w:rPr>
                <w:u w:val="none"/>
              </w:rPr>
            </w:pPr>
            <w:r>
              <w:rPr>
                <w:u w:val="none"/>
              </w:rPr>
              <w:t>施工采用拌和商混，无拌和废水产生。车辆到附近指定地点进行清洗，因此无车辆清洗废水产生。</w:t>
            </w:r>
            <w:r>
              <w:rPr>
                <w:rFonts w:hint="eastAsia"/>
                <w:u w:val="none"/>
              </w:rPr>
              <w:t>故施工期不产生生产废水。</w:t>
            </w:r>
            <w:r>
              <w:rPr>
                <w:u w:val="none"/>
              </w:rPr>
              <w:t>生活污水主要来自于施工人员的生活</w:t>
            </w:r>
            <w:r>
              <w:rPr>
                <w:rFonts w:hint="eastAsia"/>
                <w:u w:val="none"/>
              </w:rPr>
              <w:t>污水</w:t>
            </w:r>
            <w:r>
              <w:rPr>
                <w:u w:val="none"/>
              </w:rPr>
              <w:t>，</w:t>
            </w:r>
            <w:r>
              <w:rPr>
                <w:rFonts w:hint="eastAsia"/>
                <w:u w:val="none"/>
              </w:rPr>
              <w:t>依托站内前期化</w:t>
            </w:r>
            <w:r>
              <w:rPr>
                <w:rFonts w:hint="eastAsia"/>
                <w:u w:val="none"/>
                <w:lang w:val="en-US" w:eastAsia="zh-CN"/>
              </w:rPr>
              <w:t>生活污水处理装置</w:t>
            </w:r>
            <w:r>
              <w:rPr>
                <w:rFonts w:hint="eastAsia"/>
                <w:u w:val="none"/>
                <w:lang w:eastAsia="zh-CN"/>
              </w:rPr>
              <w:t>，</w:t>
            </w:r>
            <w:r>
              <w:rPr>
                <w:rFonts w:hint="eastAsia"/>
                <w:u w:val="none"/>
                <w:lang w:val="en-US" w:eastAsia="zh-CN"/>
              </w:rPr>
              <w:t>生活污水经化粪池处理后用于站内绿化，不外排，</w:t>
            </w:r>
            <w:r>
              <w:rPr>
                <w:rFonts w:hint="eastAsia"/>
                <w:u w:val="none"/>
              </w:rPr>
              <w:t>不会对周围水环境产生影响。</w:t>
            </w:r>
          </w:p>
          <w:p w14:paraId="108C8574">
            <w:pPr>
              <w:adjustRightInd w:val="0"/>
              <w:snapToGrid w:val="0"/>
              <w:ind w:firstLine="480" w:firstLineChars="0"/>
              <w:rPr>
                <w:u w:val="none"/>
              </w:rPr>
            </w:pPr>
            <w:r>
              <w:rPr>
                <w:u w:val="none"/>
              </w:rPr>
              <w:t>本工程施工期对环境的影响是小范围和暂时的，随着施工期的结束，对环境的影响也将逐步消失。</w:t>
            </w:r>
          </w:p>
          <w:p w14:paraId="0C0F7C22">
            <w:pPr>
              <w:adjustRightInd w:val="0"/>
              <w:snapToGrid w:val="0"/>
              <w:ind w:firstLine="0"/>
              <w:rPr>
                <w:u w:val="none"/>
              </w:rPr>
            </w:pPr>
            <w:r>
              <w:rPr>
                <w:bCs/>
                <w:u w:val="none"/>
              </w:rPr>
              <w:t>4.</w:t>
            </w:r>
            <w:r>
              <w:rPr>
                <w:rFonts w:hint="eastAsia"/>
                <w:bCs/>
                <w:u w:val="none"/>
              </w:rPr>
              <w:t>3</w:t>
            </w:r>
            <w:r>
              <w:rPr>
                <w:bCs/>
                <w:u w:val="none"/>
              </w:rPr>
              <w:t>.4</w:t>
            </w:r>
            <w:r>
              <w:rPr>
                <w:u w:val="none"/>
              </w:rPr>
              <w:t>施工期声环境影响分析</w:t>
            </w:r>
          </w:p>
          <w:p w14:paraId="7A90E01D">
            <w:pPr>
              <w:adjustRightInd w:val="0"/>
              <w:snapToGrid w:val="0"/>
              <w:ind w:firstLine="480"/>
              <w:rPr>
                <w:bCs/>
                <w:u w:val="none"/>
              </w:rPr>
            </w:pPr>
            <w:r>
              <w:rPr>
                <w:bCs/>
                <w:u w:val="none"/>
              </w:rPr>
              <w:t>场地开挖处理、施工过程中将使用较多的高噪声施工机械设备和车辆，施工机械设备和车辆工作时在一定程度上对周围的声环境质量产生影响。</w:t>
            </w:r>
          </w:p>
          <w:p w14:paraId="2BF9EEB1">
            <w:pPr>
              <w:adjustRightInd w:val="0"/>
              <w:snapToGrid w:val="0"/>
              <w:ind w:firstLine="480"/>
              <w:rPr>
                <w:u w:val="none"/>
              </w:rPr>
            </w:pPr>
            <w:r>
              <w:rPr>
                <w:u w:val="none"/>
              </w:rPr>
              <w:t>施工过程中变电站站区设备安装、车辆运输、各类施工机械等将对周围环境产生噪声影响。吊车</w:t>
            </w:r>
            <w:r>
              <w:rPr>
                <w:rFonts w:hint="eastAsia"/>
                <w:u w:val="none"/>
                <w:lang w:eastAsia="zh-CN"/>
              </w:rPr>
              <w:t>、</w:t>
            </w:r>
            <w:r>
              <w:rPr>
                <w:u w:val="none"/>
              </w:rPr>
              <w:t>挖掘机、</w:t>
            </w:r>
            <w:r>
              <w:rPr>
                <w:rFonts w:hint="eastAsia"/>
                <w:u w:val="none"/>
                <w:lang w:val="en-US" w:eastAsia="zh-CN"/>
              </w:rPr>
              <w:t>液压挖掘机</w:t>
            </w:r>
            <w:r>
              <w:rPr>
                <w:u w:val="none"/>
              </w:rPr>
              <w:t>噪声一般为70~</w:t>
            </w:r>
            <w:r>
              <w:rPr>
                <w:rFonts w:hint="eastAsia"/>
                <w:u w:val="none"/>
                <w:lang w:val="en-US" w:eastAsia="zh-CN"/>
              </w:rPr>
              <w:t>86</w:t>
            </w:r>
            <w:r>
              <w:rPr>
                <w:u w:val="none"/>
              </w:rPr>
              <w:t>dB(A)；运输车辆噪声一般为70~85dB(A)。</w:t>
            </w:r>
            <w:r>
              <w:rPr>
                <w:rFonts w:hint="eastAsia"/>
                <w:u w:val="none"/>
              </w:rPr>
              <w:t>液压挖掘机的声源最大，最大影响范围半径不超过 32m(限值 70 dB(A))</w:t>
            </w:r>
            <w:r>
              <w:rPr>
                <w:rFonts w:hint="eastAsia"/>
                <w:u w:val="none"/>
                <w:lang w:eastAsia="zh-CN"/>
              </w:rPr>
              <w:t>；</w:t>
            </w:r>
            <w:r>
              <w:rPr>
                <w:rFonts w:hint="eastAsia"/>
                <w:u w:val="none"/>
              </w:rPr>
              <w:t>考虑各施工阶段的施工设备的声环境综合影响情况下，施工场地四通一平阶段的影响最大，最大影响范围半径不超过55m</w:t>
            </w:r>
            <w:r>
              <w:rPr>
                <w:rFonts w:hint="eastAsia"/>
                <w:u w:val="none"/>
                <w:lang w:eastAsia="zh-CN"/>
              </w:rPr>
              <w:t>，</w:t>
            </w:r>
            <w:r>
              <w:rPr>
                <w:rFonts w:hint="eastAsia"/>
                <w:u w:val="none"/>
                <w:lang w:val="en-US" w:eastAsia="zh-CN"/>
              </w:rPr>
              <w:t>满足</w:t>
            </w:r>
            <w:r>
              <w:rPr>
                <w:u w:val="none"/>
              </w:rPr>
              <w:t>《建筑施工场界环境噪声排放标准》（GB12523-2011）中的标准限值。</w:t>
            </w:r>
          </w:p>
          <w:p w14:paraId="0DA3BE95">
            <w:pPr>
              <w:adjustRightInd w:val="0"/>
              <w:snapToGrid w:val="0"/>
              <w:ind w:firstLine="480"/>
              <w:rPr>
                <w:bCs/>
                <w:u w:val="none"/>
              </w:rPr>
            </w:pPr>
            <w:r>
              <w:rPr>
                <w:rFonts w:hint="eastAsia"/>
                <w:bCs/>
                <w:u w:val="none"/>
              </w:rPr>
              <w:t>在本期220kV</w:t>
            </w:r>
            <w:r>
              <w:rPr>
                <w:rFonts w:hint="eastAsia"/>
                <w:bCs/>
                <w:u w:val="none"/>
                <w:lang w:val="en-US" w:eastAsia="zh-CN"/>
              </w:rPr>
              <w:t>果山</w:t>
            </w:r>
            <w:r>
              <w:rPr>
                <w:rFonts w:hint="eastAsia"/>
                <w:bCs/>
                <w:u w:val="none"/>
              </w:rPr>
              <w:t>站扩建工程中，所有施工活动均将在站内预留场地内进行，且工期较短。通过合理安排施工时间和规划施工场地，施工期间机械设备和车辆的运行对周围声环境质量的影响将被控制在较小范围内。</w:t>
            </w:r>
          </w:p>
          <w:p w14:paraId="4DB2FB61">
            <w:pPr>
              <w:adjustRightInd w:val="0"/>
              <w:snapToGrid w:val="0"/>
              <w:ind w:firstLine="0"/>
              <w:rPr>
                <w:bCs/>
                <w:u w:val="none"/>
              </w:rPr>
            </w:pPr>
            <w:r>
              <w:rPr>
                <w:bCs/>
                <w:u w:val="none"/>
              </w:rPr>
              <w:t>4.</w:t>
            </w:r>
            <w:r>
              <w:rPr>
                <w:rFonts w:hint="eastAsia"/>
                <w:bCs/>
                <w:u w:val="none"/>
              </w:rPr>
              <w:t>3</w:t>
            </w:r>
            <w:r>
              <w:rPr>
                <w:bCs/>
                <w:u w:val="none"/>
              </w:rPr>
              <w:t>.5固体废弃物</w:t>
            </w:r>
          </w:p>
          <w:p w14:paraId="0934FB35">
            <w:pPr>
              <w:adjustRightInd w:val="0"/>
              <w:snapToGrid w:val="0"/>
              <w:ind w:firstLine="480"/>
              <w:rPr>
                <w:u w:val="none"/>
              </w:rPr>
            </w:pPr>
            <w:r>
              <w:rPr>
                <w:u w:val="none"/>
              </w:rPr>
              <w:t>变电站施工期的固体废物主要为建筑垃圾及施工人员产生的生活垃圾。工程施工高峰期，施工人员约有30人，按0.5kg/（人·天）计算，产生生活垃圾约15kg/（人·天）。建筑垃圾</w:t>
            </w:r>
            <w:r>
              <w:rPr>
                <w:rFonts w:hint="eastAsia"/>
                <w:u w:val="none"/>
                <w:lang w:val="en-US" w:eastAsia="zh-CN"/>
              </w:rPr>
              <w:t>及废弃包装物</w:t>
            </w:r>
            <w:r>
              <w:rPr>
                <w:u w:val="none"/>
              </w:rPr>
              <w:t>进行分类回收利用，不可回收利用的运至当地政府有关部门指定地点堆放；生活垃圾经集中收集后，清运至当地的垃圾收集点，禁止乱丢乱弃，对当地环境影响较小。</w:t>
            </w:r>
          </w:p>
          <w:p w14:paraId="7D1A93C6">
            <w:pPr>
              <w:keepNext w:val="0"/>
              <w:keepLines w:val="0"/>
              <w:widowControl/>
              <w:suppressLineNumbers w:val="0"/>
              <w:jc w:val="left"/>
              <w:rPr>
                <w:color w:val="auto"/>
              </w:rPr>
            </w:pPr>
            <w:r>
              <w:rPr>
                <w:rFonts w:hint="eastAsia" w:ascii="Times New Roman" w:hAnsi="Times New Roman" w:eastAsia="宋体" w:cs="Times New Roman"/>
                <w:b/>
                <w:bCs/>
                <w:color w:val="auto"/>
                <w:kern w:val="0"/>
                <w:sz w:val="24"/>
                <w:szCs w:val="24"/>
                <w:lang w:val="en-US" w:eastAsia="zh-CN" w:bidi="ar"/>
              </w:rPr>
              <w:t>4.3.6</w:t>
            </w:r>
            <w:r>
              <w:rPr>
                <w:rFonts w:hint="eastAsia" w:ascii="宋体" w:hAnsi="宋体" w:eastAsia="宋体" w:cs="宋体"/>
                <w:b/>
                <w:bCs/>
                <w:color w:val="auto"/>
                <w:kern w:val="0"/>
                <w:sz w:val="24"/>
                <w:szCs w:val="24"/>
                <w:lang w:val="en-US" w:eastAsia="zh-CN" w:bidi="ar"/>
              </w:rPr>
              <w:t xml:space="preserve">施工期生态环境影响分析小结 </w:t>
            </w:r>
          </w:p>
          <w:p w14:paraId="650A6632">
            <w:pPr>
              <w:keepNext w:val="0"/>
              <w:keepLines w:val="0"/>
              <w:widowControl/>
              <w:suppressLineNumbers w:val="0"/>
              <w:ind w:firstLine="480" w:firstLineChars="200"/>
              <w:jc w:val="both"/>
              <w:rPr>
                <w:color w:val="auto"/>
              </w:rPr>
            </w:pPr>
            <w:r>
              <w:rPr>
                <w:rFonts w:hint="eastAsia" w:ascii="宋体" w:hAnsi="宋体" w:eastAsia="宋体" w:cs="宋体"/>
                <w:color w:val="auto"/>
                <w:kern w:val="0"/>
                <w:sz w:val="24"/>
                <w:szCs w:val="24"/>
                <w:lang w:val="en-US" w:eastAsia="zh-CN" w:bidi="ar"/>
              </w:rPr>
              <w:t>经分析，本项目施工期对周边环境影响较小，项目的建设不会改变现有生态系统格局，对区域生态环境完整性影响很小，且工程在施工期的环境影响是短暂的、可逆的，随着施工期的结束而消失，在采取相关环境保护措施后，工程施工期对周围环境的影响是可以接受的。</w:t>
            </w:r>
          </w:p>
          <w:p w14:paraId="3E3E3AE2">
            <w:pPr>
              <w:pStyle w:val="9"/>
            </w:pPr>
          </w:p>
        </w:tc>
      </w:tr>
      <w:tr w14:paraId="4D2F6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456" w:type="dxa"/>
            <w:tcMar>
              <w:left w:w="28" w:type="dxa"/>
              <w:right w:w="28" w:type="dxa"/>
            </w:tcMar>
            <w:vAlign w:val="center"/>
          </w:tcPr>
          <w:p w14:paraId="4B0A9036">
            <w:pPr>
              <w:pStyle w:val="17"/>
              <w:adjustRightInd w:val="0"/>
              <w:snapToGrid w:val="0"/>
              <w:spacing w:beforeAutospacing="0" w:afterAutospacing="0"/>
              <w:jc w:val="center"/>
              <w:rPr>
                <w:rFonts w:ascii="Times New Roman" w:hAnsi="Times New Roman"/>
                <w:bCs/>
                <w:kern w:val="2"/>
                <w:szCs w:val="24"/>
                <w:u w:val="none"/>
              </w:rPr>
            </w:pPr>
            <w:r>
              <w:rPr>
                <w:rFonts w:ascii="Times New Roman" w:hAnsi="Times New Roman"/>
                <w:bCs/>
                <w:spacing w:val="10"/>
                <w:kern w:val="2"/>
                <w:szCs w:val="24"/>
                <w:u w:val="none"/>
              </w:rPr>
              <w:t>运营期生态环境影响分析</w:t>
            </w:r>
          </w:p>
        </w:tc>
        <w:tc>
          <w:tcPr>
            <w:tcW w:w="8815" w:type="dxa"/>
          </w:tcPr>
          <w:p w14:paraId="382A79B3">
            <w:pPr>
              <w:autoSpaceDE w:val="0"/>
              <w:autoSpaceDN w:val="0"/>
              <w:adjustRightInd w:val="0"/>
              <w:snapToGrid w:val="0"/>
              <w:rPr>
                <w:b/>
                <w:bCs/>
                <w:u w:val="none"/>
              </w:rPr>
            </w:pPr>
            <w:r>
              <w:rPr>
                <w:b/>
                <w:kern w:val="0"/>
                <w:u w:val="none"/>
              </w:rPr>
              <w:t>4.</w:t>
            </w:r>
            <w:r>
              <w:rPr>
                <w:rFonts w:hint="eastAsia"/>
                <w:b/>
                <w:kern w:val="0"/>
                <w:u w:val="none"/>
              </w:rPr>
              <w:t>4</w:t>
            </w:r>
            <w:r>
              <w:rPr>
                <w:b/>
                <w:bCs/>
                <w:u w:val="none"/>
              </w:rPr>
              <w:t>运营期工艺流程与产污环节</w:t>
            </w:r>
          </w:p>
          <w:p w14:paraId="02624366">
            <w:pPr>
              <w:autoSpaceDE w:val="0"/>
              <w:autoSpaceDN w:val="0"/>
              <w:adjustRightInd w:val="0"/>
              <w:snapToGrid w:val="0"/>
              <w:jc w:val="center"/>
              <w:rPr>
                <w:rFonts w:hint="eastAsia" w:ascii="仿宋" w:hAnsi="仿宋" w:eastAsia="仿宋" w:cs="仿宋"/>
                <w:bCs/>
                <w:kern w:val="0"/>
                <w:u w:val="none"/>
                <w:lang w:eastAsia="zh-CN"/>
              </w:rPr>
            </w:pPr>
            <w:r>
              <w:rPr>
                <w:rFonts w:hint="eastAsia" w:ascii="仿宋" w:hAnsi="仿宋" w:eastAsia="仿宋" w:cs="仿宋"/>
                <w:bCs/>
                <w:kern w:val="0"/>
                <w:u w:val="none"/>
                <w:lang w:eastAsia="zh-CN"/>
              </w:rPr>
              <w:drawing>
                <wp:inline distT="0" distB="0" distL="114300" distR="114300">
                  <wp:extent cx="4572000" cy="1809750"/>
                  <wp:effectExtent l="0" t="0" r="0" b="3810"/>
                  <wp:docPr id="58" name="图片 58" descr="ca4269e241366c13f6adfd481c2b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a4269e241366c13f6adfd481c2bb6f"/>
                          <pic:cNvPicPr>
                            <a:picLocks noChangeAspect="1"/>
                          </pic:cNvPicPr>
                        </pic:nvPicPr>
                        <pic:blipFill>
                          <a:blip r:embed="rId13"/>
                          <a:stretch>
                            <a:fillRect/>
                          </a:stretch>
                        </pic:blipFill>
                        <pic:spPr>
                          <a:xfrm>
                            <a:off x="0" y="0"/>
                            <a:ext cx="4572000" cy="1809750"/>
                          </a:xfrm>
                          <a:prstGeom prst="rect">
                            <a:avLst/>
                          </a:prstGeom>
                        </pic:spPr>
                      </pic:pic>
                    </a:graphicData>
                  </a:graphic>
                </wp:inline>
              </w:drawing>
            </w:r>
          </w:p>
          <w:p w14:paraId="606001EE">
            <w:pPr>
              <w:autoSpaceDE w:val="0"/>
              <w:autoSpaceDN w:val="0"/>
              <w:adjustRightInd w:val="0"/>
              <w:snapToGrid w:val="0"/>
              <w:jc w:val="center"/>
              <w:rPr>
                <w:b/>
                <w:kern w:val="0"/>
                <w:u w:val="none"/>
              </w:rPr>
            </w:pPr>
            <w:r>
              <w:rPr>
                <w:rFonts w:hint="eastAsia"/>
                <w:b/>
                <w:kern w:val="0"/>
                <w:u w:val="none"/>
              </w:rPr>
              <w:t>图4.4-1本项目</w:t>
            </w:r>
            <w:r>
              <w:rPr>
                <w:b/>
                <w:bCs/>
                <w:u w:val="none"/>
              </w:rPr>
              <w:t>运营期产污环节</w:t>
            </w:r>
            <w:r>
              <w:rPr>
                <w:rFonts w:hint="eastAsia"/>
                <w:b/>
                <w:bCs/>
                <w:u w:val="none"/>
              </w:rPr>
              <w:t>图</w:t>
            </w:r>
          </w:p>
          <w:p w14:paraId="3396D4B1">
            <w:pPr>
              <w:autoSpaceDE w:val="0"/>
              <w:autoSpaceDN w:val="0"/>
              <w:adjustRightInd w:val="0"/>
              <w:snapToGrid w:val="0"/>
              <w:rPr>
                <w:b/>
                <w:kern w:val="0"/>
                <w:u w:val="none"/>
              </w:rPr>
            </w:pPr>
            <w:r>
              <w:rPr>
                <w:b/>
                <w:kern w:val="0"/>
                <w:u w:val="none"/>
              </w:rPr>
              <w:t>4.</w:t>
            </w:r>
            <w:r>
              <w:rPr>
                <w:rFonts w:hint="eastAsia"/>
                <w:b/>
                <w:kern w:val="0"/>
                <w:u w:val="none"/>
              </w:rPr>
              <w:t>5</w:t>
            </w:r>
            <w:r>
              <w:rPr>
                <w:b/>
                <w:kern w:val="0"/>
                <w:u w:val="none"/>
              </w:rPr>
              <w:t>生态环境影响分析</w:t>
            </w:r>
          </w:p>
          <w:p w14:paraId="6E4E5332">
            <w:pPr>
              <w:adjustRightInd w:val="0"/>
              <w:snapToGrid w:val="0"/>
              <w:ind w:firstLine="482"/>
              <w:rPr>
                <w:u w:val="none"/>
              </w:rPr>
            </w:pPr>
            <w:r>
              <w:rPr>
                <w:u w:val="none"/>
              </w:rPr>
              <w:t>a）对植被的影响</w:t>
            </w:r>
          </w:p>
          <w:p w14:paraId="22DC9D57">
            <w:pPr>
              <w:ind w:firstLine="480"/>
              <w:rPr>
                <w:u w:val="none"/>
              </w:rPr>
            </w:pPr>
            <w:r>
              <w:rPr>
                <w:rFonts w:hint="eastAsia"/>
                <w:u w:val="none"/>
              </w:rPr>
              <w:t>本期为扩建工程，建设均在站内进行，不新增用地，不会对变电站周边生态环境影响。</w:t>
            </w:r>
            <w:r>
              <w:rPr>
                <w:u w:val="none"/>
              </w:rPr>
              <w:t>本工程建设不会引起区域生物量的大幅降低。施工结束后，在站区地面上覆土平整，并进行植树种草绿化，变电站占地区域生态环境将逐渐得到恢复。</w:t>
            </w:r>
          </w:p>
          <w:p w14:paraId="1CFB558C">
            <w:pPr>
              <w:adjustRightInd w:val="0"/>
              <w:snapToGrid w:val="0"/>
              <w:ind w:firstLine="482"/>
              <w:rPr>
                <w:u w:val="none"/>
              </w:rPr>
            </w:pPr>
            <w:r>
              <w:rPr>
                <w:u w:val="none"/>
              </w:rPr>
              <w:t>b）对动物的影响</w:t>
            </w:r>
          </w:p>
          <w:p w14:paraId="3F8CAB76">
            <w:pPr>
              <w:adjustRightInd w:val="0"/>
              <w:snapToGrid w:val="0"/>
              <w:ind w:firstLine="480"/>
              <w:rPr>
                <w:u w:val="none"/>
              </w:rPr>
            </w:pPr>
            <w:r>
              <w:rPr>
                <w:u w:val="none"/>
              </w:rPr>
              <w:t>本工程周围未发现重点保护的野生动物。</w:t>
            </w:r>
          </w:p>
          <w:p w14:paraId="0BD9E0EE">
            <w:pPr>
              <w:autoSpaceDE w:val="0"/>
              <w:autoSpaceDN w:val="0"/>
              <w:adjustRightInd w:val="0"/>
              <w:snapToGrid w:val="0"/>
              <w:rPr>
                <w:b/>
                <w:kern w:val="0"/>
                <w:u w:val="none"/>
              </w:rPr>
            </w:pPr>
            <w:r>
              <w:rPr>
                <w:b/>
                <w:kern w:val="0"/>
                <w:u w:val="none"/>
              </w:rPr>
              <w:t>4.</w:t>
            </w:r>
            <w:r>
              <w:rPr>
                <w:rFonts w:hint="eastAsia"/>
                <w:b/>
                <w:kern w:val="0"/>
                <w:u w:val="none"/>
              </w:rPr>
              <w:t>6</w:t>
            </w:r>
            <w:r>
              <w:rPr>
                <w:b/>
                <w:kern w:val="0"/>
                <w:u w:val="none"/>
              </w:rPr>
              <w:t>水环境影响分析</w:t>
            </w:r>
          </w:p>
          <w:p w14:paraId="5FF42859">
            <w:pPr>
              <w:adjustRightInd w:val="0"/>
              <w:snapToGrid w:val="0"/>
              <w:ind w:firstLine="480"/>
              <w:rPr>
                <w:u w:val="none"/>
              </w:rPr>
            </w:pPr>
            <w:r>
              <w:rPr>
                <w:u w:val="none"/>
              </w:rPr>
              <w:t>本工程运行期无工业废水排放，</w:t>
            </w:r>
            <w:r>
              <w:rPr>
                <w:rFonts w:hint="eastAsia"/>
                <w:u w:val="none"/>
              </w:rPr>
              <w:t>220kV</w:t>
            </w:r>
            <w:r>
              <w:rPr>
                <w:rFonts w:hint="eastAsia"/>
                <w:u w:val="none"/>
                <w:lang w:val="en-US" w:eastAsia="zh-CN"/>
              </w:rPr>
              <w:t>果山</w:t>
            </w:r>
            <w:r>
              <w:rPr>
                <w:u w:val="none"/>
              </w:rPr>
              <w:t>变电站</w:t>
            </w:r>
            <w:r>
              <w:rPr>
                <w:rFonts w:hint="eastAsia"/>
                <w:lang w:val="en-US" w:eastAsia="zh-CN"/>
              </w:rPr>
              <w:t>值班人数为</w:t>
            </w:r>
            <w:r>
              <w:rPr>
                <w:rFonts w:hint="eastAsia"/>
                <w:u w:val="none"/>
                <w:lang w:val="en-US" w:eastAsia="zh-CN"/>
              </w:rPr>
              <w:t>1~2人</w:t>
            </w:r>
            <w:r>
              <w:rPr>
                <w:u w:val="none"/>
              </w:rPr>
              <w:t>，仅有少量生活污水，本次扩建不新增运维人员，不增加生活污水的产生量，</w:t>
            </w:r>
            <w:r>
              <w:rPr>
                <w:rFonts w:hint="eastAsia"/>
                <w:u w:val="none"/>
              </w:rPr>
              <w:t>生活污水依托站内前期化生活污水处理装置，生活污水经化粪池处理后用于站内绿化，不外排，不会对周围</w:t>
            </w:r>
            <w:r>
              <w:rPr>
                <w:rFonts w:hint="eastAsia"/>
                <w:u w:val="none"/>
                <w:lang w:val="en-US" w:eastAsia="zh-CN"/>
              </w:rPr>
              <w:t>地表</w:t>
            </w:r>
            <w:r>
              <w:rPr>
                <w:rFonts w:hint="eastAsia"/>
                <w:u w:val="none"/>
              </w:rPr>
              <w:t>水环境产生影响。</w:t>
            </w:r>
            <w:r>
              <w:rPr>
                <w:u w:val="none"/>
              </w:rPr>
              <w:t>因此本工程不会对周围水环境产生不良影响。</w:t>
            </w:r>
          </w:p>
          <w:p w14:paraId="557B3B84">
            <w:pPr>
              <w:adjustRightInd w:val="0"/>
              <w:snapToGrid w:val="0"/>
              <w:rPr>
                <w:b/>
                <w:kern w:val="0"/>
                <w:u w:val="none"/>
              </w:rPr>
            </w:pPr>
            <w:r>
              <w:rPr>
                <w:b/>
                <w:kern w:val="0"/>
                <w:u w:val="none"/>
              </w:rPr>
              <w:t>4.</w:t>
            </w:r>
            <w:r>
              <w:rPr>
                <w:rFonts w:hint="eastAsia"/>
                <w:b/>
                <w:kern w:val="0"/>
                <w:u w:val="none"/>
              </w:rPr>
              <w:t>7</w:t>
            </w:r>
            <w:r>
              <w:rPr>
                <w:b/>
                <w:kern w:val="0"/>
                <w:u w:val="none"/>
              </w:rPr>
              <w:t>声环境影响分析</w:t>
            </w:r>
          </w:p>
          <w:p w14:paraId="0958E947">
            <w:pPr>
              <w:pStyle w:val="5"/>
              <w:adjustRightInd w:val="0"/>
              <w:snapToGrid w:val="0"/>
              <w:spacing w:before="0" w:after="0" w:line="360" w:lineRule="auto"/>
              <w:rPr>
                <w:rFonts w:ascii="Times New Roman" w:hAnsi="Times New Roman"/>
                <w:b w:val="0"/>
                <w:bCs w:val="0"/>
                <w:sz w:val="24"/>
                <w:szCs w:val="24"/>
                <w:u w:val="none"/>
              </w:rPr>
            </w:pPr>
            <w:r>
              <w:rPr>
                <w:rFonts w:hint="eastAsia" w:ascii="Times New Roman" w:hAnsi="Times New Roman"/>
                <w:b w:val="0"/>
                <w:bCs w:val="0"/>
                <w:sz w:val="24"/>
                <w:szCs w:val="24"/>
                <w:u w:val="none"/>
              </w:rPr>
              <w:t>4.7</w:t>
            </w:r>
            <w:r>
              <w:rPr>
                <w:rFonts w:ascii="Times New Roman" w:hAnsi="Times New Roman"/>
                <w:b w:val="0"/>
                <w:bCs w:val="0"/>
                <w:sz w:val="24"/>
                <w:szCs w:val="24"/>
                <w:u w:val="none"/>
              </w:rPr>
              <w:t>.1模式预测</w:t>
            </w:r>
          </w:p>
          <w:p w14:paraId="6B7D54DF">
            <w:pPr>
              <w:adjustRightInd w:val="0"/>
              <w:snapToGrid w:val="0"/>
              <w:ind w:firstLine="480"/>
              <w:rPr>
                <w:u w:val="none"/>
              </w:rPr>
            </w:pPr>
            <w:r>
              <w:rPr>
                <w:u w:val="none"/>
              </w:rPr>
              <w:t>变电站运行期的噪声源主要来自变压器噪声及其冷却系统风机噪声，本环评预测</w:t>
            </w:r>
            <w:r>
              <w:rPr>
                <w:rFonts w:hint="eastAsia"/>
                <w:u w:val="none"/>
              </w:rPr>
              <w:t>本工程所采用的预测源强</w:t>
            </w:r>
            <w:r>
              <w:rPr>
                <w:rFonts w:hint="eastAsia"/>
                <w:u w:val="none"/>
                <w:lang w:val="en-US" w:eastAsia="zh-CN"/>
              </w:rPr>
              <w:t>取自</w:t>
            </w:r>
            <w:r>
              <w:rPr>
                <w:rFonts w:hint="eastAsia"/>
                <w:u w:val="none"/>
              </w:rPr>
              <w:t>《变电站噪声控制技术导则》（DL/T1518-2016）</w:t>
            </w:r>
            <w:r>
              <w:rPr>
                <w:u w:val="none"/>
              </w:rPr>
              <w:t>。</w:t>
            </w:r>
          </w:p>
          <w:p w14:paraId="19E2875A">
            <w:pPr>
              <w:adjustRightInd w:val="0"/>
              <w:snapToGrid w:val="0"/>
              <w:jc w:val="left"/>
              <w:rPr>
                <w:u w:val="none"/>
              </w:rPr>
            </w:pPr>
            <w:r>
              <w:rPr>
                <w:rFonts w:hint="eastAsia"/>
                <w:u w:val="none"/>
              </w:rPr>
              <w:t>4.7</w:t>
            </w:r>
            <w:r>
              <w:rPr>
                <w:u w:val="none"/>
              </w:rPr>
              <w:t>.1.1预测模式和预测软件</w:t>
            </w:r>
          </w:p>
          <w:p w14:paraId="784A680A">
            <w:pPr>
              <w:adjustRightInd w:val="0"/>
              <w:snapToGrid w:val="0"/>
              <w:ind w:firstLine="480"/>
              <w:rPr>
                <w:u w:val="none"/>
              </w:rPr>
            </w:pPr>
            <w:r>
              <w:rPr>
                <w:rFonts w:hint="eastAsia"/>
                <w:u w:val="none"/>
                <w:lang w:eastAsia="zh-CN"/>
              </w:rPr>
              <w:t>采用《环境影响评价技术导则 声环境》（HJ2.4-2021）中的室外工业噪声预测模式，预测软件选用噪声预测软件Soundplan。</w:t>
            </w:r>
          </w:p>
          <w:p w14:paraId="2EB071FB">
            <w:pPr>
              <w:adjustRightInd w:val="0"/>
              <w:snapToGrid w:val="0"/>
              <w:jc w:val="left"/>
              <w:rPr>
                <w:u w:val="none"/>
              </w:rPr>
            </w:pPr>
            <w:r>
              <w:rPr>
                <w:rFonts w:hint="eastAsia"/>
                <w:u w:val="none"/>
              </w:rPr>
              <w:t>4.7</w:t>
            </w:r>
            <w:r>
              <w:rPr>
                <w:u w:val="none"/>
              </w:rPr>
              <w:t>.1.2计算条件</w:t>
            </w:r>
          </w:p>
          <w:p w14:paraId="1E3EE54C">
            <w:pPr>
              <w:adjustRightInd w:val="0"/>
              <w:snapToGrid w:val="0"/>
              <w:ind w:firstLine="480"/>
              <w:rPr>
                <w:u w:val="none"/>
              </w:rPr>
            </w:pPr>
            <w:r>
              <w:rPr>
                <w:u w:val="none"/>
              </w:rPr>
              <w:t>a）预测时段</w:t>
            </w:r>
          </w:p>
          <w:p w14:paraId="778B2C7F">
            <w:pPr>
              <w:adjustRightInd w:val="0"/>
              <w:snapToGrid w:val="0"/>
              <w:ind w:firstLine="480"/>
              <w:rPr>
                <w:u w:val="none"/>
              </w:rPr>
            </w:pPr>
            <w:r>
              <w:rPr>
                <w:u w:val="none"/>
              </w:rPr>
              <w:t>变电站一般为24h连续运行，噪声源稳定，昼、夜间对周围环境的贡献值基本一致。</w:t>
            </w:r>
          </w:p>
          <w:p w14:paraId="69987A63">
            <w:pPr>
              <w:adjustRightInd w:val="0"/>
              <w:snapToGrid w:val="0"/>
              <w:ind w:firstLine="480"/>
              <w:rPr>
                <w:u w:val="none"/>
              </w:rPr>
            </w:pPr>
            <w:r>
              <w:rPr>
                <w:u w:val="none"/>
              </w:rPr>
              <w:t>b）衰减因素选取</w:t>
            </w:r>
          </w:p>
          <w:p w14:paraId="09145CC6">
            <w:pPr>
              <w:adjustRightInd w:val="0"/>
              <w:snapToGrid w:val="0"/>
              <w:ind w:firstLine="480"/>
              <w:rPr>
                <w:u w:val="none"/>
              </w:rPr>
            </w:pPr>
            <w:r>
              <w:rPr>
                <w:u w:val="none"/>
              </w:rPr>
              <w:t>本次评价主要考虑几何发散（A</w:t>
            </w:r>
            <w:r>
              <w:rPr>
                <w:rFonts w:hint="eastAsia"/>
                <w:u w:val="none"/>
                <w:vertAlign w:val="subscript"/>
              </w:rPr>
              <w:t>div</w:t>
            </w:r>
            <w:r>
              <w:rPr>
                <w:u w:val="none"/>
              </w:rPr>
              <w:t>）、空气吸收（A</w:t>
            </w:r>
            <w:r>
              <w:rPr>
                <w:u w:val="none"/>
                <w:vertAlign w:val="subscript"/>
              </w:rPr>
              <w:t>atm</w:t>
            </w:r>
            <w:r>
              <w:rPr>
                <w:u w:val="none"/>
              </w:rPr>
              <w:t>）、地面效应（A</w:t>
            </w:r>
            <w:r>
              <w:rPr>
                <w:u w:val="none"/>
                <w:vertAlign w:val="subscript"/>
              </w:rPr>
              <w:t>gr</w:t>
            </w:r>
            <w:r>
              <w:rPr>
                <w:u w:val="none"/>
              </w:rPr>
              <w:t>）、障碍物屏障（A</w:t>
            </w:r>
            <w:r>
              <w:rPr>
                <w:u w:val="none"/>
                <w:vertAlign w:val="subscript"/>
              </w:rPr>
              <w:t>bar</w:t>
            </w:r>
            <w:r>
              <w:rPr>
                <w:u w:val="none"/>
              </w:rPr>
              <w:t>）引起的噪声衰减。</w:t>
            </w:r>
          </w:p>
          <w:p w14:paraId="3B040EB0">
            <w:pPr>
              <w:adjustRightInd w:val="0"/>
              <w:snapToGrid w:val="0"/>
              <w:ind w:firstLine="480"/>
              <w:rPr>
                <w:u w:val="none"/>
              </w:rPr>
            </w:pPr>
            <w:r>
              <w:rPr>
                <w:u w:val="none"/>
              </w:rPr>
              <w:t>c）噪声预测参数设置</w:t>
            </w:r>
          </w:p>
          <w:p w14:paraId="584E1426">
            <w:pPr>
              <w:adjustRightInd w:val="0"/>
              <w:snapToGrid w:val="0"/>
              <w:ind w:firstLine="480"/>
              <w:rPr>
                <w:u w:val="none"/>
              </w:rPr>
            </w:pPr>
            <w:r>
              <w:rPr>
                <w:u w:val="none"/>
              </w:rPr>
              <w:t>1）噪声源及源强</w:t>
            </w:r>
          </w:p>
          <w:p w14:paraId="137B11BB">
            <w:pPr>
              <w:adjustRightInd w:val="0"/>
              <w:snapToGrid w:val="0"/>
              <w:ind w:firstLine="480"/>
              <w:rPr>
                <w:u w:val="none"/>
              </w:rPr>
            </w:pPr>
            <w:r>
              <w:rPr>
                <w:u w:val="none"/>
              </w:rPr>
              <w:t>变电站运行期的噪声源主要来自变压器噪声及其冷却系统风机噪声，</w:t>
            </w:r>
            <w:r>
              <w:rPr>
                <w:rFonts w:hint="eastAsia"/>
                <w:u w:val="none"/>
                <w:lang w:val="en-US" w:eastAsia="zh-CN"/>
              </w:rPr>
              <w:t>依据</w:t>
            </w:r>
            <w:r>
              <w:rPr>
                <w:rFonts w:hint="eastAsia"/>
                <w:u w:val="none"/>
              </w:rPr>
              <w:t>《变电站噪声控制技术导则》（DL/T1518-2016）</w:t>
            </w:r>
            <w:r>
              <w:rPr>
                <w:u w:val="none"/>
              </w:rPr>
              <w:t>，本环评预测时按保守考虑变压器噪声源强取</w:t>
            </w:r>
            <w:r>
              <w:rPr>
                <w:rFonts w:hint="eastAsia"/>
                <w:u w:val="none"/>
                <w:lang w:val="en-US" w:eastAsia="zh-CN"/>
              </w:rPr>
              <w:t>88.5</w:t>
            </w:r>
            <w:r>
              <w:rPr>
                <w:u w:val="none"/>
              </w:rPr>
              <w:t>dB（A）。</w:t>
            </w:r>
          </w:p>
          <w:p w14:paraId="75401D83">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cs="Arial"/>
                <w:b/>
                <w:i w:val="0"/>
                <w:iCs w:val="0"/>
                <w:sz w:val="21"/>
                <w:szCs w:val="21"/>
                <w:highlight w:val="none"/>
              </w:rPr>
            </w:pPr>
            <w:r>
              <w:rPr>
                <w:rFonts w:hint="eastAsia" w:cs="Arial"/>
                <w:b/>
                <w:i w:val="0"/>
                <w:iCs w:val="0"/>
                <w:sz w:val="21"/>
                <w:szCs w:val="21"/>
                <w:highlight w:val="none"/>
              </w:rPr>
              <w:t>表</w:t>
            </w:r>
            <w:r>
              <w:rPr>
                <w:rFonts w:hint="eastAsia" w:cs="Arial"/>
                <w:b/>
                <w:i w:val="0"/>
                <w:iCs w:val="0"/>
                <w:sz w:val="21"/>
                <w:szCs w:val="21"/>
                <w:highlight w:val="none"/>
                <w:lang w:val="en-US" w:eastAsia="zh-CN"/>
              </w:rPr>
              <w:t>4.7-1果山站</w:t>
            </w:r>
            <w:r>
              <w:rPr>
                <w:rFonts w:hint="eastAsia" w:cs="Arial"/>
                <w:b/>
                <w:i w:val="0"/>
                <w:iCs w:val="0"/>
                <w:sz w:val="21"/>
                <w:szCs w:val="21"/>
                <w:highlight w:val="none"/>
              </w:rPr>
              <w:t>主要设备噪声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89"/>
              <w:gridCol w:w="1164"/>
              <w:gridCol w:w="1293"/>
              <w:gridCol w:w="1033"/>
              <w:gridCol w:w="906"/>
              <w:gridCol w:w="1710"/>
            </w:tblGrid>
            <w:tr w14:paraId="2257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62" w:type="pct"/>
                  <w:noWrap w:val="0"/>
                  <w:tcMar>
                    <w:left w:w="28" w:type="dxa"/>
                    <w:right w:w="28" w:type="dxa"/>
                  </w:tcMar>
                  <w:vAlign w:val="center"/>
                </w:tcPr>
                <w:p w14:paraId="3E872A61">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序号</w:t>
                  </w:r>
                </w:p>
              </w:tc>
              <w:tc>
                <w:tcPr>
                  <w:tcW w:w="982" w:type="pct"/>
                  <w:noWrap w:val="0"/>
                  <w:tcMar>
                    <w:left w:w="28" w:type="dxa"/>
                    <w:right w:w="28" w:type="dxa"/>
                  </w:tcMar>
                  <w:vAlign w:val="center"/>
                </w:tcPr>
                <w:p w14:paraId="7FE99064">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噪声源</w:t>
                  </w:r>
                </w:p>
              </w:tc>
              <w:tc>
                <w:tcPr>
                  <w:tcW w:w="677" w:type="pct"/>
                  <w:noWrap w:val="0"/>
                  <w:tcMar>
                    <w:left w:w="28" w:type="dxa"/>
                    <w:right w:w="28" w:type="dxa"/>
                  </w:tcMar>
                  <w:vAlign w:val="center"/>
                </w:tcPr>
                <w:p w14:paraId="7F24FCF0">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声源类型</w:t>
                  </w:r>
                </w:p>
              </w:tc>
              <w:tc>
                <w:tcPr>
                  <w:tcW w:w="752" w:type="pct"/>
                  <w:noWrap w:val="0"/>
                  <w:tcMar>
                    <w:left w:w="28" w:type="dxa"/>
                    <w:right w:w="28" w:type="dxa"/>
                  </w:tcMar>
                  <w:vAlign w:val="center"/>
                </w:tcPr>
                <w:p w14:paraId="40F9220E">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声功率级（</w:t>
                  </w:r>
                  <w:r>
                    <w:rPr>
                      <w:i w:val="0"/>
                      <w:iCs w:val="0"/>
                      <w:snapToGrid w:val="0"/>
                      <w:color w:val="auto"/>
                      <w:sz w:val="21"/>
                      <w:szCs w:val="21"/>
                      <w:highlight w:val="none"/>
                    </w:rPr>
                    <w:t>dB(A)</w:t>
                  </w:r>
                  <w:r>
                    <w:rPr>
                      <w:rFonts w:hint="eastAsia"/>
                      <w:i w:val="0"/>
                      <w:iCs w:val="0"/>
                      <w:snapToGrid w:val="0"/>
                      <w:color w:val="auto"/>
                      <w:sz w:val="21"/>
                      <w:szCs w:val="21"/>
                      <w:highlight w:val="none"/>
                    </w:rPr>
                    <w:t>）</w:t>
                  </w:r>
                </w:p>
              </w:tc>
              <w:tc>
                <w:tcPr>
                  <w:tcW w:w="601" w:type="pct"/>
                  <w:noWrap w:val="0"/>
                  <w:tcMar>
                    <w:left w:w="28" w:type="dxa"/>
                    <w:right w:w="28" w:type="dxa"/>
                  </w:tcMar>
                  <w:vAlign w:val="center"/>
                </w:tcPr>
                <w:p w14:paraId="36CD77F5">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声源高度</w:t>
                  </w:r>
                </w:p>
                <w:p w14:paraId="2CDF5AA6">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w:t>
                  </w:r>
                  <w:r>
                    <w:rPr>
                      <w:i w:val="0"/>
                      <w:iCs w:val="0"/>
                      <w:snapToGrid w:val="0"/>
                      <w:color w:val="auto"/>
                      <w:sz w:val="21"/>
                      <w:szCs w:val="21"/>
                      <w:highlight w:val="none"/>
                    </w:rPr>
                    <w:t>m</w:t>
                  </w:r>
                  <w:r>
                    <w:rPr>
                      <w:rFonts w:hint="eastAsia"/>
                      <w:i w:val="0"/>
                      <w:iCs w:val="0"/>
                      <w:snapToGrid w:val="0"/>
                      <w:color w:val="auto"/>
                      <w:sz w:val="21"/>
                      <w:szCs w:val="21"/>
                      <w:highlight w:val="none"/>
                    </w:rPr>
                    <w:t>）</w:t>
                  </w:r>
                </w:p>
              </w:tc>
              <w:tc>
                <w:tcPr>
                  <w:tcW w:w="527" w:type="pct"/>
                  <w:noWrap w:val="0"/>
                  <w:tcMar>
                    <w:left w:w="28" w:type="dxa"/>
                    <w:right w:w="28" w:type="dxa"/>
                  </w:tcMar>
                  <w:vAlign w:val="center"/>
                </w:tcPr>
                <w:p w14:paraId="13600032">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i w:val="0"/>
                      <w:iCs w:val="0"/>
                      <w:snapToGrid w:val="0"/>
                      <w:color w:val="auto"/>
                      <w:sz w:val="21"/>
                      <w:szCs w:val="21"/>
                      <w:highlight w:val="none"/>
                    </w:rPr>
                  </w:pPr>
                  <w:r>
                    <w:rPr>
                      <w:rFonts w:hint="eastAsia" w:ascii="Times New Roman" w:hAnsi="Times New Roman" w:eastAsia="宋体"/>
                      <w:i w:val="0"/>
                      <w:iCs w:val="0"/>
                      <w:snapToGrid w:val="0"/>
                      <w:color w:val="auto"/>
                      <w:sz w:val="21"/>
                      <w:szCs w:val="21"/>
                      <w:highlight w:val="none"/>
                    </w:rPr>
                    <w:t>数量（组/台）</w:t>
                  </w:r>
                </w:p>
              </w:tc>
              <w:tc>
                <w:tcPr>
                  <w:tcW w:w="994" w:type="pct"/>
                  <w:noWrap w:val="0"/>
                  <w:vAlign w:val="center"/>
                </w:tcPr>
                <w:p w14:paraId="2F88D439">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i w:val="0"/>
                      <w:iCs w:val="0"/>
                      <w:snapToGrid w:val="0"/>
                      <w:color w:val="auto"/>
                      <w:sz w:val="21"/>
                      <w:szCs w:val="21"/>
                      <w:highlight w:val="none"/>
                    </w:rPr>
                  </w:pPr>
                  <w:r>
                    <w:rPr>
                      <w:rFonts w:hint="eastAsia" w:ascii="Times New Roman" w:hAnsi="Times New Roman" w:eastAsia="宋体"/>
                      <w:i w:val="0"/>
                      <w:iCs w:val="0"/>
                      <w:snapToGrid w:val="0"/>
                      <w:color w:val="auto"/>
                      <w:sz w:val="21"/>
                      <w:szCs w:val="21"/>
                      <w:highlight w:val="none"/>
                    </w:rPr>
                    <w:t>备注</w:t>
                  </w:r>
                </w:p>
              </w:tc>
            </w:tr>
            <w:tr w14:paraId="701A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462" w:type="pct"/>
                  <w:noWrap w:val="0"/>
                  <w:tcMar>
                    <w:left w:w="28" w:type="dxa"/>
                    <w:right w:w="28" w:type="dxa"/>
                  </w:tcMar>
                  <w:vAlign w:val="center"/>
                </w:tcPr>
                <w:p w14:paraId="4B7ECF1F">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i w:val="0"/>
                      <w:iCs w:val="0"/>
                      <w:snapToGrid w:val="0"/>
                      <w:color w:val="auto"/>
                      <w:sz w:val="21"/>
                      <w:szCs w:val="21"/>
                      <w:highlight w:val="none"/>
                    </w:rPr>
                    <w:t>1</w:t>
                  </w:r>
                </w:p>
              </w:tc>
              <w:tc>
                <w:tcPr>
                  <w:tcW w:w="982" w:type="pct"/>
                  <w:noWrap w:val="0"/>
                  <w:tcMar>
                    <w:left w:w="28" w:type="dxa"/>
                    <w:right w:w="28" w:type="dxa"/>
                  </w:tcMar>
                  <w:vAlign w:val="center"/>
                </w:tcPr>
                <w:p w14:paraId="496C9A44">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lang w:val="en-US" w:eastAsia="zh-CN"/>
                    </w:rPr>
                    <w:t>新增#2</w:t>
                  </w:r>
                  <w:r>
                    <w:rPr>
                      <w:rFonts w:hint="eastAsia"/>
                      <w:i w:val="0"/>
                      <w:iCs w:val="0"/>
                      <w:snapToGrid w:val="0"/>
                      <w:color w:val="auto"/>
                      <w:sz w:val="21"/>
                      <w:szCs w:val="21"/>
                      <w:highlight w:val="none"/>
                    </w:rPr>
                    <w:t>主变</w:t>
                  </w:r>
                </w:p>
              </w:tc>
              <w:tc>
                <w:tcPr>
                  <w:tcW w:w="677" w:type="pct"/>
                  <w:noWrap w:val="0"/>
                  <w:tcMar>
                    <w:left w:w="28" w:type="dxa"/>
                    <w:right w:w="28" w:type="dxa"/>
                  </w:tcMar>
                  <w:vAlign w:val="center"/>
                </w:tcPr>
                <w:p w14:paraId="2E74A61D">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i w:val="0"/>
                      <w:iCs w:val="0"/>
                      <w:snapToGrid w:val="0"/>
                      <w:color w:val="auto"/>
                      <w:sz w:val="21"/>
                      <w:szCs w:val="21"/>
                      <w:highlight w:val="none"/>
                    </w:rPr>
                  </w:pPr>
                  <w:r>
                    <w:rPr>
                      <w:rFonts w:hint="eastAsia"/>
                      <w:i w:val="0"/>
                      <w:iCs w:val="0"/>
                      <w:snapToGrid w:val="0"/>
                      <w:color w:val="auto"/>
                      <w:sz w:val="21"/>
                      <w:szCs w:val="21"/>
                      <w:highlight w:val="none"/>
                    </w:rPr>
                    <w:t>面声源</w:t>
                  </w:r>
                </w:p>
              </w:tc>
              <w:tc>
                <w:tcPr>
                  <w:tcW w:w="752" w:type="pct"/>
                  <w:noWrap w:val="0"/>
                  <w:tcMar>
                    <w:left w:w="28" w:type="dxa"/>
                    <w:right w:w="28" w:type="dxa"/>
                  </w:tcMar>
                  <w:vAlign w:val="center"/>
                </w:tcPr>
                <w:p w14:paraId="40AD358D">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eastAsia="宋体"/>
                      <w:i w:val="0"/>
                      <w:iCs w:val="0"/>
                      <w:snapToGrid w:val="0"/>
                      <w:color w:val="auto"/>
                      <w:sz w:val="21"/>
                      <w:szCs w:val="21"/>
                      <w:highlight w:val="none"/>
                      <w:lang w:val="en-US" w:eastAsia="zh-CN"/>
                    </w:rPr>
                  </w:pPr>
                  <w:r>
                    <w:rPr>
                      <w:rFonts w:hint="eastAsia"/>
                      <w:i w:val="0"/>
                      <w:iCs w:val="0"/>
                      <w:snapToGrid w:val="0"/>
                      <w:color w:val="auto"/>
                      <w:sz w:val="21"/>
                      <w:szCs w:val="21"/>
                      <w:highlight w:val="none"/>
                      <w:lang w:val="en-US" w:eastAsia="zh-CN"/>
                    </w:rPr>
                    <w:t>88.5</w:t>
                  </w:r>
                </w:p>
              </w:tc>
              <w:tc>
                <w:tcPr>
                  <w:tcW w:w="601" w:type="pct"/>
                  <w:noWrap w:val="0"/>
                  <w:tcMar>
                    <w:left w:w="28" w:type="dxa"/>
                    <w:right w:w="28" w:type="dxa"/>
                  </w:tcMar>
                  <w:vAlign w:val="center"/>
                </w:tcPr>
                <w:p w14:paraId="5EBF3246">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eastAsia="宋体"/>
                      <w:i w:val="0"/>
                      <w:iCs w:val="0"/>
                      <w:snapToGrid w:val="0"/>
                      <w:color w:val="auto"/>
                      <w:sz w:val="21"/>
                      <w:szCs w:val="21"/>
                      <w:highlight w:val="none"/>
                      <w:lang w:val="en-US" w:eastAsia="zh-CN"/>
                    </w:rPr>
                  </w:pPr>
                  <w:r>
                    <w:rPr>
                      <w:rFonts w:hint="eastAsia"/>
                      <w:i w:val="0"/>
                      <w:iCs w:val="0"/>
                      <w:snapToGrid w:val="0"/>
                      <w:color w:val="auto"/>
                      <w:sz w:val="21"/>
                      <w:szCs w:val="21"/>
                      <w:highlight w:val="none"/>
                      <w:lang w:val="en-US" w:eastAsia="zh-CN"/>
                    </w:rPr>
                    <w:t>2.5</w:t>
                  </w:r>
                </w:p>
              </w:tc>
              <w:tc>
                <w:tcPr>
                  <w:tcW w:w="527" w:type="pct"/>
                  <w:noWrap w:val="0"/>
                  <w:tcMar>
                    <w:left w:w="28" w:type="dxa"/>
                    <w:right w:w="28" w:type="dxa"/>
                  </w:tcMar>
                  <w:vAlign w:val="center"/>
                </w:tcPr>
                <w:p w14:paraId="612AF18F">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i w:val="0"/>
                      <w:iCs w:val="0"/>
                      <w:snapToGrid w:val="0"/>
                      <w:color w:val="auto"/>
                      <w:sz w:val="21"/>
                      <w:szCs w:val="21"/>
                      <w:highlight w:val="none"/>
                      <w:lang w:eastAsia="zh-CN"/>
                    </w:rPr>
                  </w:pPr>
                  <w:r>
                    <w:rPr>
                      <w:rFonts w:hint="eastAsia" w:ascii="Times New Roman" w:hAnsi="Times New Roman" w:eastAsia="宋体"/>
                      <w:i w:val="0"/>
                      <w:iCs w:val="0"/>
                      <w:snapToGrid w:val="0"/>
                      <w:color w:val="auto"/>
                      <w:sz w:val="21"/>
                      <w:szCs w:val="21"/>
                      <w:highlight w:val="none"/>
                      <w:lang w:val="en-US" w:eastAsia="zh-CN"/>
                    </w:rPr>
                    <w:t>1</w:t>
                  </w:r>
                </w:p>
              </w:tc>
              <w:tc>
                <w:tcPr>
                  <w:tcW w:w="994" w:type="pct"/>
                  <w:noWrap w:val="0"/>
                  <w:vAlign w:val="center"/>
                </w:tcPr>
                <w:p w14:paraId="5CF83B61">
                  <w:pPr>
                    <w:pStyle w:val="5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i w:val="0"/>
                      <w:iCs w:val="0"/>
                      <w:snapToGrid w:val="0"/>
                      <w:color w:val="auto"/>
                      <w:sz w:val="21"/>
                      <w:szCs w:val="21"/>
                      <w:highlight w:val="none"/>
                      <w:lang w:val="en-US" w:eastAsia="zh-CN"/>
                    </w:rPr>
                  </w:pPr>
                  <w:r>
                    <w:rPr>
                      <w:rFonts w:hint="eastAsia"/>
                      <w:i w:val="0"/>
                      <w:iCs w:val="0"/>
                      <w:snapToGrid w:val="0"/>
                      <w:color w:val="auto"/>
                      <w:sz w:val="21"/>
                      <w:szCs w:val="21"/>
                      <w:highlight w:val="none"/>
                      <w:lang w:val="en-US" w:eastAsia="zh-CN"/>
                    </w:rPr>
                    <w:t>/</w:t>
                  </w:r>
                </w:p>
              </w:tc>
            </w:tr>
          </w:tbl>
          <w:p w14:paraId="72426EE2">
            <w:pPr>
              <w:adjustRightInd w:val="0"/>
              <w:snapToGrid w:val="0"/>
              <w:ind w:firstLine="480"/>
              <w:rPr>
                <w:u w:val="none"/>
              </w:rPr>
            </w:pPr>
            <w:r>
              <w:rPr>
                <w:u w:val="none"/>
              </w:rPr>
              <w:t>2）衰减因素选取及参数设置</w:t>
            </w:r>
          </w:p>
          <w:p w14:paraId="020B306C">
            <w:pPr>
              <w:adjustRightInd w:val="0"/>
              <w:snapToGrid w:val="0"/>
              <w:ind w:firstLine="480"/>
              <w:rPr>
                <w:u w:val="none"/>
              </w:rPr>
            </w:pPr>
            <w:r>
              <w:rPr>
                <w:u w:val="none"/>
              </w:rPr>
              <w:t>（1）考虑围墙、主控楼、警传室等主要建筑物的阻挡效应。</w:t>
            </w:r>
          </w:p>
          <w:p w14:paraId="04F94EFA">
            <w:pPr>
              <w:adjustRightInd w:val="0"/>
              <w:snapToGrid w:val="0"/>
              <w:ind w:firstLine="480"/>
              <w:rPr>
                <w:u w:val="none"/>
              </w:rPr>
            </w:pPr>
            <w:r>
              <w:rPr>
                <w:u w:val="none"/>
              </w:rPr>
              <w:t>（2）按照疏松地面考虑地面吸收衰减。</w:t>
            </w:r>
          </w:p>
          <w:p w14:paraId="240B9E82">
            <w:pPr>
              <w:adjustRightInd w:val="0"/>
              <w:snapToGrid w:val="0"/>
              <w:ind w:firstLine="480"/>
              <w:rPr>
                <w:u w:val="none"/>
              </w:rPr>
            </w:pPr>
            <w:r>
              <w:rPr>
                <w:u w:val="none"/>
              </w:rPr>
              <w:t>（3）变电站内外地形按平地考虑。</w:t>
            </w:r>
          </w:p>
          <w:p w14:paraId="0E50E104">
            <w:pPr>
              <w:adjustRightInd w:val="0"/>
              <w:snapToGrid w:val="0"/>
              <w:ind w:firstLine="480"/>
              <w:rPr>
                <w:u w:val="none"/>
              </w:rPr>
            </w:pPr>
            <w:r>
              <w:rPr>
                <w:u w:val="none"/>
              </w:rPr>
              <w:t>3）预测时段</w:t>
            </w:r>
          </w:p>
          <w:p w14:paraId="041B6D3B">
            <w:pPr>
              <w:adjustRightInd w:val="0"/>
              <w:snapToGrid w:val="0"/>
              <w:ind w:firstLine="480"/>
              <w:rPr>
                <w:u w:val="none"/>
              </w:rPr>
            </w:pPr>
            <w:r>
              <w:rPr>
                <w:u w:val="none"/>
              </w:rPr>
              <w:t>变电站为24小时连续运行，噪声源稳定，昼间和夜间产生的噪声水平具有一致性，其对环境噪声的贡献值昼夜相同。</w:t>
            </w:r>
          </w:p>
          <w:p w14:paraId="66B48813">
            <w:pPr>
              <w:adjustRightInd w:val="0"/>
              <w:snapToGrid w:val="0"/>
              <w:ind w:firstLine="480"/>
              <w:rPr>
                <w:u w:val="none"/>
              </w:rPr>
            </w:pPr>
            <w:r>
              <w:rPr>
                <w:u w:val="none"/>
              </w:rPr>
              <w:t>4）预测点位</w:t>
            </w:r>
          </w:p>
          <w:p w14:paraId="7249837C">
            <w:pPr>
              <w:adjustRightInd w:val="0"/>
              <w:snapToGrid w:val="0"/>
              <w:ind w:firstLine="480"/>
              <w:rPr>
                <w:u w:val="none"/>
              </w:rPr>
            </w:pPr>
            <w:r>
              <w:rPr>
                <w:u w:val="none"/>
              </w:rPr>
              <w:t>预测变电站</w:t>
            </w:r>
            <w:r>
              <w:rPr>
                <w:rFonts w:hint="eastAsia"/>
                <w:u w:val="none"/>
                <w:lang w:val="en-US" w:eastAsia="zh-CN"/>
              </w:rPr>
              <w:t>北侧、东侧</w:t>
            </w:r>
            <w:r>
              <w:rPr>
                <w:rFonts w:hint="eastAsia"/>
                <w:u w:val="none"/>
              </w:rPr>
              <w:t>厂界</w:t>
            </w:r>
            <w:r>
              <w:rPr>
                <w:u w:val="none"/>
              </w:rPr>
              <w:t>外1m、地面1.2m高度处的噪声值（Leq（A）</w:t>
            </w:r>
            <w:r>
              <w:rPr>
                <w:rFonts w:hint="eastAsia"/>
                <w:u w:val="none"/>
              </w:rPr>
              <w:t>）</w:t>
            </w:r>
            <w:r>
              <w:rPr>
                <w:rFonts w:hint="eastAsia"/>
                <w:u w:val="none"/>
                <w:lang w:eastAsia="zh-CN"/>
              </w:rPr>
              <w:t>，</w:t>
            </w:r>
            <w:r>
              <w:rPr>
                <w:rFonts w:hint="eastAsia"/>
                <w:u w:val="none"/>
                <w:lang w:val="en-US" w:eastAsia="zh-CN"/>
              </w:rPr>
              <w:t>变电站东侧、南侧厂界外1m高于围墙0.5m</w:t>
            </w:r>
            <w:r>
              <w:rPr>
                <w:u w:val="none"/>
              </w:rPr>
              <w:t>高度处的噪声值（Leq（A）</w:t>
            </w:r>
            <w:r>
              <w:rPr>
                <w:rFonts w:hint="eastAsia"/>
                <w:u w:val="none"/>
              </w:rPr>
              <w:t>）</w:t>
            </w:r>
            <w:r>
              <w:rPr>
                <w:u w:val="none"/>
              </w:rPr>
              <w:t>。</w:t>
            </w:r>
          </w:p>
          <w:p w14:paraId="78C80E23">
            <w:pPr>
              <w:adjustRightInd w:val="0"/>
              <w:snapToGrid w:val="0"/>
              <w:ind w:firstLine="480"/>
              <w:rPr>
                <w:u w:val="none"/>
              </w:rPr>
            </w:pPr>
            <w:r>
              <w:rPr>
                <w:u w:val="none"/>
              </w:rPr>
              <w:t>5）预测方案</w:t>
            </w:r>
          </w:p>
          <w:p w14:paraId="0BAE0A0D">
            <w:pPr>
              <w:adjustRightInd w:val="0"/>
              <w:snapToGrid w:val="0"/>
              <w:ind w:firstLine="480"/>
              <w:rPr>
                <w:u w:val="none"/>
              </w:rPr>
            </w:pPr>
            <w:r>
              <w:rPr>
                <w:rFonts w:hint="eastAsia"/>
                <w:u w:val="none"/>
                <w:lang w:val="en-US" w:eastAsia="zh-CN"/>
              </w:rPr>
              <w:t>依据《环境影响评价技术导则 声环境》（HJ 2.4-2021）</w:t>
            </w:r>
            <w:r>
              <w:rPr>
                <w:rFonts w:hint="eastAsia"/>
                <w:u w:val="none"/>
              </w:rPr>
              <w:t>改扩建建设项目以噪声贡献值与受到现有建设项目影响的厂界噪声值叠加后的预测值作为评价量。</w:t>
            </w:r>
          </w:p>
          <w:p w14:paraId="2279848E">
            <w:pPr>
              <w:adjustRightInd w:val="0"/>
              <w:snapToGrid w:val="0"/>
              <w:jc w:val="left"/>
              <w:rPr>
                <w:u w:val="none"/>
              </w:rPr>
            </w:pPr>
            <w:r>
              <w:rPr>
                <w:rFonts w:hint="eastAsia"/>
                <w:u w:val="none"/>
              </w:rPr>
              <w:t>4.7</w:t>
            </w:r>
            <w:r>
              <w:rPr>
                <w:u w:val="none"/>
              </w:rPr>
              <w:t>.1.3预测结果</w:t>
            </w:r>
          </w:p>
          <w:p w14:paraId="0C2E07DC">
            <w:pPr>
              <w:adjustRightInd w:val="0"/>
              <w:snapToGrid w:val="0"/>
              <w:ind w:firstLine="480"/>
              <w:rPr>
                <w:u w:val="none"/>
              </w:rPr>
            </w:pPr>
            <w:r>
              <w:rPr>
                <w:rFonts w:hint="eastAsia"/>
                <w:u w:val="none"/>
              </w:rPr>
              <w:t>220kV</w:t>
            </w:r>
            <w:r>
              <w:rPr>
                <w:rFonts w:hint="eastAsia"/>
                <w:u w:val="none"/>
                <w:lang w:val="en-US" w:eastAsia="zh-CN"/>
              </w:rPr>
              <w:t>果山</w:t>
            </w:r>
            <w:r>
              <w:rPr>
                <w:u w:val="none"/>
              </w:rPr>
              <w:t>变电站噪声预测计算结果见表</w:t>
            </w:r>
            <w:r>
              <w:rPr>
                <w:rFonts w:hint="eastAsia"/>
                <w:u w:val="none"/>
              </w:rPr>
              <w:t>4.7-1</w:t>
            </w:r>
            <w:r>
              <w:rPr>
                <w:u w:val="none"/>
              </w:rPr>
              <w:t>，设备噪声贡献等值线见</w:t>
            </w:r>
            <w:bookmarkStart w:id="55" w:name="_Ref423965582"/>
            <w:r>
              <w:rPr>
                <w:u w:val="none"/>
              </w:rPr>
              <w:fldChar w:fldCharType="begin"/>
            </w:r>
            <w:r>
              <w:rPr>
                <w:u w:val="none"/>
              </w:rPr>
              <w:instrText xml:space="preserve"> REF _Ref31728 \h  \* MERGEFORMAT </w:instrText>
            </w:r>
            <w:r>
              <w:rPr>
                <w:u w:val="none"/>
              </w:rPr>
              <w:fldChar w:fldCharType="separate"/>
            </w:r>
            <w:r>
              <w:rPr>
                <w:u w:val="none"/>
              </w:rPr>
              <w:t>图</w:t>
            </w:r>
            <w:r>
              <w:rPr>
                <w:u w:val="none"/>
              </w:rPr>
              <w:fldChar w:fldCharType="end"/>
            </w:r>
            <w:r>
              <w:rPr>
                <w:rFonts w:hint="eastAsia"/>
                <w:u w:val="none"/>
              </w:rPr>
              <w:t>4.7</w:t>
            </w:r>
            <w:r>
              <w:rPr>
                <w:u w:val="none"/>
              </w:rPr>
              <w:t>-1。</w:t>
            </w:r>
          </w:p>
          <w:bookmarkEnd w:id="55"/>
          <w:p w14:paraId="59194992">
            <w:pPr>
              <w:jc w:val="center"/>
              <w:rPr>
                <w:b/>
                <w:bCs/>
                <w:highlight w:val="none"/>
                <w:u w:val="none"/>
              </w:rPr>
            </w:pPr>
            <w:bookmarkStart w:id="56" w:name="_Ref425426509"/>
            <w:r>
              <w:rPr>
                <w:b/>
                <w:bCs/>
                <w:highlight w:val="none"/>
                <w:u w:val="none"/>
              </w:rPr>
              <w:t>表</w:t>
            </w:r>
            <w:r>
              <w:rPr>
                <w:rFonts w:hint="eastAsia"/>
                <w:b/>
                <w:bCs/>
                <w:highlight w:val="none"/>
                <w:u w:val="none"/>
              </w:rPr>
              <w:t>4.7</w:t>
            </w:r>
            <w:r>
              <w:rPr>
                <w:b/>
                <w:bCs/>
                <w:highlight w:val="none"/>
                <w:u w:val="none"/>
              </w:rPr>
              <w:t>-</w:t>
            </w:r>
            <w:r>
              <w:rPr>
                <w:rFonts w:hint="eastAsia"/>
                <w:b/>
                <w:bCs/>
                <w:highlight w:val="none"/>
                <w:u w:val="none"/>
                <w:lang w:val="en-US" w:eastAsia="zh-CN"/>
              </w:rPr>
              <w:t xml:space="preserve">2 </w:t>
            </w:r>
            <w:r>
              <w:rPr>
                <w:rFonts w:hint="eastAsia"/>
                <w:b/>
                <w:bCs/>
                <w:highlight w:val="none"/>
                <w:u w:val="none"/>
              </w:rPr>
              <w:t>220kV</w:t>
            </w:r>
            <w:r>
              <w:rPr>
                <w:rFonts w:hint="eastAsia"/>
                <w:b/>
                <w:bCs/>
                <w:highlight w:val="none"/>
                <w:u w:val="none"/>
                <w:lang w:val="en-US" w:eastAsia="zh-CN"/>
              </w:rPr>
              <w:t xml:space="preserve"> 果山</w:t>
            </w:r>
            <w:r>
              <w:rPr>
                <w:b/>
                <w:bCs/>
                <w:highlight w:val="none"/>
                <w:u w:val="none"/>
              </w:rPr>
              <w:t>变电站厂界环境噪声贡献值预测结果</w:t>
            </w:r>
          </w:p>
          <w:tbl>
            <w:tblPr>
              <w:tblStyle w:val="19"/>
              <w:tblW w:w="50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903"/>
              <w:gridCol w:w="1115"/>
              <w:gridCol w:w="3286"/>
            </w:tblGrid>
            <w:tr w14:paraId="24CC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0" w:type="pct"/>
                  <w:vAlign w:val="center"/>
                </w:tcPr>
                <w:p w14:paraId="5B2CF0A7">
                  <w:pPr>
                    <w:pStyle w:val="31"/>
                    <w:rPr>
                      <w:color w:val="auto"/>
                      <w:highlight w:val="none"/>
                      <w:u w:val="none"/>
                    </w:rPr>
                  </w:pPr>
                  <w:r>
                    <w:rPr>
                      <w:rFonts w:hint="eastAsia"/>
                      <w:color w:val="auto"/>
                      <w:highlight w:val="none"/>
                      <w:u w:val="none"/>
                      <w:lang w:val="en-US"/>
                    </w:rPr>
                    <w:t>监测点位</w:t>
                  </w:r>
                </w:p>
              </w:tc>
              <w:tc>
                <w:tcPr>
                  <w:tcW w:w="1665" w:type="pct"/>
                  <w:vAlign w:val="center"/>
                </w:tcPr>
                <w:p w14:paraId="08313B69">
                  <w:pPr>
                    <w:pStyle w:val="31"/>
                    <w:rPr>
                      <w:color w:val="auto"/>
                      <w:highlight w:val="none"/>
                      <w:u w:val="none"/>
                      <w:lang w:val="en-US"/>
                    </w:rPr>
                  </w:pPr>
                  <w:r>
                    <w:rPr>
                      <w:color w:val="auto"/>
                      <w:highlight w:val="none"/>
                      <w:u w:val="none"/>
                      <w:lang w:val="en-US"/>
                    </w:rPr>
                    <w:t>名称</w:t>
                  </w:r>
                </w:p>
              </w:tc>
              <w:tc>
                <w:tcPr>
                  <w:tcW w:w="639" w:type="pct"/>
                  <w:vAlign w:val="center"/>
                </w:tcPr>
                <w:p w14:paraId="47C1ACF3">
                  <w:pPr>
                    <w:pStyle w:val="31"/>
                    <w:rPr>
                      <w:color w:val="auto"/>
                      <w:highlight w:val="none"/>
                      <w:u w:val="none"/>
                      <w:lang w:val="en-US"/>
                    </w:rPr>
                  </w:pPr>
                  <w:r>
                    <w:rPr>
                      <w:rFonts w:hint="eastAsia"/>
                      <w:color w:val="auto"/>
                      <w:highlight w:val="none"/>
                      <w:u w:val="none"/>
                      <w:lang w:val="en-US"/>
                    </w:rPr>
                    <w:t>位置</w:t>
                  </w:r>
                </w:p>
              </w:tc>
              <w:tc>
                <w:tcPr>
                  <w:tcW w:w="1884" w:type="pct"/>
                  <w:vAlign w:val="center"/>
                </w:tcPr>
                <w:p w14:paraId="3B24A23E">
                  <w:pPr>
                    <w:pStyle w:val="31"/>
                    <w:rPr>
                      <w:color w:val="auto"/>
                      <w:highlight w:val="none"/>
                      <w:u w:val="none"/>
                    </w:rPr>
                  </w:pPr>
                  <w:r>
                    <w:rPr>
                      <w:color w:val="auto"/>
                      <w:highlight w:val="none"/>
                      <w:u w:val="none"/>
                    </w:rPr>
                    <w:t>贡献值（dB（A））</w:t>
                  </w:r>
                </w:p>
              </w:tc>
            </w:tr>
            <w:tr w14:paraId="12E7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Align w:val="center"/>
                </w:tcPr>
                <w:p w14:paraId="72CCA8BD">
                  <w:pPr>
                    <w:pStyle w:val="32"/>
                    <w:rPr>
                      <w:highlight w:val="none"/>
                      <w:u w:val="none"/>
                      <w:lang w:eastAsia="zh-CN"/>
                    </w:rPr>
                  </w:pPr>
                  <w:bookmarkStart w:id="57" w:name="OLE_LINK7" w:colFirst="2" w:colLast="2"/>
                  <w:r>
                    <w:rPr>
                      <w:rFonts w:hint="eastAsia" w:ascii="Times New Roman" w:hAnsi="Times New Roman" w:eastAsia="宋体" w:cs="Times New Roman"/>
                      <w:u w:val="none"/>
                      <w:lang w:val="en-US" w:eastAsia="zh-CN"/>
                    </w:rPr>
                    <w:t>1#</w:t>
                  </w:r>
                </w:p>
              </w:tc>
              <w:tc>
                <w:tcPr>
                  <w:tcW w:w="2918" w:type="dxa"/>
                  <w:vAlign w:val="center"/>
                </w:tcPr>
                <w:p w14:paraId="0C1CF995">
                  <w:pPr>
                    <w:pStyle w:val="32"/>
                    <w:rPr>
                      <w:highlight w:val="none"/>
                      <w:u w:val="none"/>
                      <w:lang w:eastAsia="zh-CN"/>
                    </w:rPr>
                  </w:pPr>
                  <w:r>
                    <w:rPr>
                      <w:rFonts w:hint="eastAsia" w:ascii="Times New Roman" w:hAnsi="Times New Roman" w:eastAsia="宋体" w:cs="Times New Roman"/>
                      <w:u w:val="none"/>
                      <w:lang w:val="en-US" w:eastAsia="zh-CN"/>
                    </w:rPr>
                    <w:t>变电站西侧</w:t>
                  </w:r>
                </w:p>
              </w:tc>
              <w:tc>
                <w:tcPr>
                  <w:tcW w:w="639" w:type="pct"/>
                  <w:vMerge w:val="restart"/>
                  <w:vAlign w:val="center"/>
                </w:tcPr>
                <w:p w14:paraId="72BEAD84">
                  <w:pPr>
                    <w:pStyle w:val="32"/>
                    <w:rPr>
                      <w:highlight w:val="none"/>
                      <w:u w:val="none"/>
                      <w:lang w:eastAsia="zh-CN"/>
                    </w:rPr>
                  </w:pPr>
                  <w:r>
                    <w:rPr>
                      <w:rFonts w:hint="eastAsia"/>
                      <w:highlight w:val="none"/>
                      <w:u w:val="none"/>
                      <w:lang w:eastAsia="zh-CN"/>
                    </w:rPr>
                    <w:t>厂界</w:t>
                  </w:r>
                  <w:r>
                    <w:rPr>
                      <w:highlight w:val="none"/>
                      <w:u w:val="none"/>
                    </w:rPr>
                    <w:t>围墙外1m处</w:t>
                  </w:r>
                </w:p>
              </w:tc>
              <w:tc>
                <w:tcPr>
                  <w:tcW w:w="1884" w:type="pct"/>
                  <w:vAlign w:val="center"/>
                </w:tcPr>
                <w:p w14:paraId="096D1FD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20.8~22</w:t>
                  </w:r>
                  <w:r>
                    <w:rPr>
                      <w:rFonts w:hint="eastAsia" w:cs="Times New Roman"/>
                      <w:u w:val="none"/>
                      <w:lang w:val="en-US" w:eastAsia="zh-CN"/>
                    </w:rPr>
                    <w:t>.0</w:t>
                  </w:r>
                </w:p>
              </w:tc>
            </w:tr>
            <w:tr w14:paraId="441F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Align w:val="center"/>
                </w:tcPr>
                <w:p w14:paraId="2D9C4B77">
                  <w:pPr>
                    <w:pStyle w:val="32"/>
                    <w:rPr>
                      <w:highlight w:val="none"/>
                      <w:u w:val="none"/>
                      <w:lang w:eastAsia="zh-CN"/>
                    </w:rPr>
                  </w:pPr>
                  <w:r>
                    <w:rPr>
                      <w:rFonts w:hint="eastAsia" w:ascii="Times New Roman" w:hAnsi="Times New Roman" w:eastAsia="宋体" w:cs="Times New Roman"/>
                      <w:u w:val="none"/>
                      <w:lang w:val="en-US" w:eastAsia="zh-CN"/>
                    </w:rPr>
                    <w:t>2#</w:t>
                  </w:r>
                </w:p>
              </w:tc>
              <w:tc>
                <w:tcPr>
                  <w:tcW w:w="2918" w:type="dxa"/>
                  <w:vAlign w:val="center"/>
                </w:tcPr>
                <w:p w14:paraId="44A09EC7">
                  <w:pPr>
                    <w:pStyle w:val="32"/>
                    <w:rPr>
                      <w:highlight w:val="none"/>
                      <w:u w:val="none"/>
                    </w:rPr>
                  </w:pPr>
                  <w:r>
                    <w:rPr>
                      <w:rFonts w:hint="eastAsia" w:ascii="Times New Roman" w:hAnsi="Times New Roman" w:eastAsia="宋体" w:cs="Times New Roman"/>
                      <w:u w:val="none"/>
                      <w:lang w:val="en-US" w:eastAsia="zh-CN"/>
                    </w:rPr>
                    <w:t>变电站北侧</w:t>
                  </w:r>
                </w:p>
              </w:tc>
              <w:tc>
                <w:tcPr>
                  <w:tcW w:w="639" w:type="pct"/>
                  <w:vMerge w:val="continue"/>
                  <w:vAlign w:val="center"/>
                </w:tcPr>
                <w:p w14:paraId="629DF155">
                  <w:pPr>
                    <w:pStyle w:val="32"/>
                    <w:rPr>
                      <w:highlight w:val="none"/>
                      <w:u w:val="none"/>
                      <w:lang w:eastAsia="zh-CN"/>
                    </w:rPr>
                  </w:pPr>
                </w:p>
              </w:tc>
              <w:tc>
                <w:tcPr>
                  <w:tcW w:w="1884" w:type="pct"/>
                  <w:vAlign w:val="center"/>
                </w:tcPr>
                <w:p w14:paraId="31EC1342">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22.3~23.4</w:t>
                  </w:r>
                </w:p>
              </w:tc>
            </w:tr>
            <w:tr w14:paraId="2C86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Align w:val="center"/>
                </w:tcPr>
                <w:p w14:paraId="3C8D7211">
                  <w:pPr>
                    <w:pStyle w:val="32"/>
                    <w:rPr>
                      <w:highlight w:val="none"/>
                      <w:u w:val="none"/>
                      <w:lang w:eastAsia="zh-CN"/>
                    </w:rPr>
                  </w:pPr>
                  <w:r>
                    <w:rPr>
                      <w:rFonts w:hint="eastAsia" w:ascii="Times New Roman" w:hAnsi="Times New Roman" w:eastAsia="宋体" w:cs="Times New Roman"/>
                      <w:u w:val="none"/>
                      <w:lang w:val="en-US" w:eastAsia="zh-CN"/>
                    </w:rPr>
                    <w:t>3#</w:t>
                  </w:r>
                </w:p>
              </w:tc>
              <w:tc>
                <w:tcPr>
                  <w:tcW w:w="2918" w:type="dxa"/>
                  <w:vAlign w:val="center"/>
                </w:tcPr>
                <w:p w14:paraId="470EB7E8">
                  <w:pPr>
                    <w:pStyle w:val="32"/>
                    <w:rPr>
                      <w:highlight w:val="none"/>
                      <w:u w:val="none"/>
                    </w:rPr>
                  </w:pPr>
                  <w:r>
                    <w:rPr>
                      <w:rFonts w:hint="eastAsia" w:ascii="Times New Roman" w:hAnsi="Times New Roman" w:eastAsia="宋体" w:cs="Times New Roman"/>
                      <w:u w:val="none"/>
                      <w:lang w:val="en-US" w:eastAsia="zh-CN"/>
                    </w:rPr>
                    <w:t>变电站东侧</w:t>
                  </w:r>
                </w:p>
              </w:tc>
              <w:tc>
                <w:tcPr>
                  <w:tcW w:w="639" w:type="pct"/>
                  <w:vMerge w:val="restart"/>
                  <w:vAlign w:val="center"/>
                </w:tcPr>
                <w:p w14:paraId="21E5B659">
                  <w:pPr>
                    <w:pStyle w:val="32"/>
                    <w:rPr>
                      <w:rFonts w:hint="default"/>
                      <w:highlight w:val="none"/>
                      <w:u w:val="none"/>
                      <w:lang w:val="en-US" w:eastAsia="zh-CN"/>
                    </w:rPr>
                  </w:pPr>
                  <w:r>
                    <w:rPr>
                      <w:rFonts w:hint="eastAsia"/>
                      <w:highlight w:val="none"/>
                      <w:u w:val="none"/>
                      <w:lang w:val="en-US" w:eastAsia="zh-CN"/>
                    </w:rPr>
                    <w:t>围墙外1m，高于围墙0.5m处</w:t>
                  </w:r>
                </w:p>
              </w:tc>
              <w:tc>
                <w:tcPr>
                  <w:tcW w:w="1884" w:type="pct"/>
                  <w:vAlign w:val="center"/>
                </w:tcPr>
                <w:p w14:paraId="360F71B9">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33.4~34.3</w:t>
                  </w:r>
                </w:p>
              </w:tc>
            </w:tr>
            <w:tr w14:paraId="2F5A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Align w:val="center"/>
                </w:tcPr>
                <w:p w14:paraId="5243C17F">
                  <w:pPr>
                    <w:pStyle w:val="32"/>
                    <w:rPr>
                      <w:highlight w:val="none"/>
                      <w:u w:val="none"/>
                      <w:lang w:eastAsia="zh-CN"/>
                    </w:rPr>
                  </w:pPr>
                  <w:r>
                    <w:rPr>
                      <w:rFonts w:hint="eastAsia" w:ascii="Times New Roman" w:hAnsi="Times New Roman" w:eastAsia="宋体" w:cs="Times New Roman"/>
                      <w:u w:val="none"/>
                      <w:lang w:val="en-US" w:eastAsia="zh-CN"/>
                    </w:rPr>
                    <w:t>4#</w:t>
                  </w:r>
                </w:p>
              </w:tc>
              <w:tc>
                <w:tcPr>
                  <w:tcW w:w="2918" w:type="dxa"/>
                  <w:vAlign w:val="center"/>
                </w:tcPr>
                <w:p w14:paraId="29D424C9">
                  <w:pPr>
                    <w:pStyle w:val="32"/>
                    <w:rPr>
                      <w:szCs w:val="10"/>
                      <w:highlight w:val="none"/>
                      <w:u w:val="none"/>
                      <w:lang w:eastAsia="zh-CN"/>
                    </w:rPr>
                  </w:pPr>
                  <w:r>
                    <w:rPr>
                      <w:rFonts w:hint="eastAsia" w:ascii="Times New Roman" w:hAnsi="Times New Roman" w:eastAsia="宋体" w:cs="Times New Roman"/>
                      <w:u w:val="none"/>
                      <w:lang w:val="en-US" w:eastAsia="zh-CN"/>
                    </w:rPr>
                    <w:t>变电站南侧（沙场门口）</w:t>
                  </w:r>
                </w:p>
              </w:tc>
              <w:tc>
                <w:tcPr>
                  <w:tcW w:w="639" w:type="pct"/>
                  <w:vMerge w:val="continue"/>
                  <w:vAlign w:val="center"/>
                </w:tcPr>
                <w:p w14:paraId="7B6ACA2A">
                  <w:pPr>
                    <w:pStyle w:val="32"/>
                    <w:rPr>
                      <w:highlight w:val="none"/>
                      <w:u w:val="none"/>
                      <w:lang w:eastAsia="zh-CN"/>
                    </w:rPr>
                  </w:pPr>
                </w:p>
              </w:tc>
              <w:tc>
                <w:tcPr>
                  <w:tcW w:w="1884" w:type="pct"/>
                  <w:vAlign w:val="center"/>
                </w:tcPr>
                <w:p w14:paraId="1A6910A7">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12.7~28.5</w:t>
                  </w:r>
                </w:p>
              </w:tc>
            </w:tr>
            <w:tr w14:paraId="2FA7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8" w:type="dxa"/>
                  <w:vAlign w:val="center"/>
                </w:tcPr>
                <w:p w14:paraId="686E6B45">
                  <w:pPr>
                    <w:pStyle w:val="32"/>
                    <w:rPr>
                      <w:highlight w:val="none"/>
                      <w:u w:val="none"/>
                      <w:lang w:eastAsia="zh-CN"/>
                    </w:rPr>
                  </w:pPr>
                  <w:r>
                    <w:rPr>
                      <w:rFonts w:hint="eastAsia" w:cs="Times New Roman"/>
                      <w:u w:val="none"/>
                      <w:lang w:val="en-US" w:eastAsia="zh-CN"/>
                    </w:rPr>
                    <w:t>5</w:t>
                  </w:r>
                  <w:r>
                    <w:rPr>
                      <w:rFonts w:hint="eastAsia" w:ascii="Times New Roman" w:hAnsi="Times New Roman" w:eastAsia="宋体" w:cs="Times New Roman"/>
                      <w:u w:val="none"/>
                      <w:lang w:val="en-US" w:eastAsia="zh-CN"/>
                    </w:rPr>
                    <w:t>#</w:t>
                  </w:r>
                </w:p>
              </w:tc>
              <w:tc>
                <w:tcPr>
                  <w:tcW w:w="2918" w:type="dxa"/>
                  <w:vAlign w:val="center"/>
                </w:tcPr>
                <w:p w14:paraId="42677115">
                  <w:pPr>
                    <w:pStyle w:val="32"/>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广西诚达工程质量检测公司办公楼</w:t>
                  </w:r>
                </w:p>
              </w:tc>
              <w:tc>
                <w:tcPr>
                  <w:tcW w:w="639" w:type="pct"/>
                  <w:vAlign w:val="center"/>
                </w:tcPr>
                <w:p w14:paraId="5C85F8AD">
                  <w:pPr>
                    <w:pStyle w:val="32"/>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建筑物外，距墙壁１ｍ处。</w:t>
                  </w:r>
                </w:p>
              </w:tc>
              <w:tc>
                <w:tcPr>
                  <w:tcW w:w="1884" w:type="pct"/>
                  <w:vAlign w:val="center"/>
                </w:tcPr>
                <w:p w14:paraId="567006BD">
                  <w:pPr>
                    <w:pStyle w:val="32"/>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18.3</w:t>
                  </w:r>
                </w:p>
              </w:tc>
            </w:tr>
            <w:bookmarkEnd w:id="56"/>
            <w:bookmarkEnd w:id="57"/>
          </w:tbl>
          <w:p w14:paraId="0D7C66F7">
            <w:pPr>
              <w:pStyle w:val="13"/>
              <w:rPr>
                <w:u w:val="none"/>
              </w:rPr>
            </w:pPr>
          </w:p>
          <w:tbl>
            <w:tblPr>
              <w:tblStyle w:val="20"/>
              <w:tblW w:w="7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32"/>
              <w:gridCol w:w="7727"/>
            </w:tblGrid>
            <w:tr w14:paraId="6B0809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06" w:hRule="atLeast"/>
                <w:jc w:val="center"/>
              </w:trPr>
              <w:tc>
                <w:tcPr>
                  <w:tcW w:w="232" w:type="dxa"/>
                  <w:tcMar>
                    <w:left w:w="0" w:type="dxa"/>
                    <w:right w:w="0" w:type="dxa"/>
                  </w:tcMar>
                  <w:vAlign w:val="center"/>
                </w:tcPr>
                <w:p w14:paraId="72050DE4">
                  <w:pPr>
                    <w:rPr>
                      <w:u w:val="none"/>
                    </w:rPr>
                  </w:pPr>
                </w:p>
              </w:tc>
              <w:tc>
                <w:tcPr>
                  <w:tcW w:w="7727" w:type="dxa"/>
                  <w:tcMar>
                    <w:left w:w="0" w:type="dxa"/>
                    <w:right w:w="0" w:type="dxa"/>
                  </w:tcMar>
                  <w:vAlign w:val="center"/>
                </w:tcPr>
                <w:p w14:paraId="29AFB45E">
                  <w:pPr>
                    <w:jc w:val="center"/>
                    <w:rPr>
                      <w:rFonts w:hint="eastAsia" w:eastAsia="宋体"/>
                      <w:u w:val="none"/>
                      <w:lang w:eastAsia="zh-CN"/>
                    </w:rPr>
                  </w:pPr>
                  <w:r>
                    <w:rPr>
                      <w:rFonts w:hint="eastAsia" w:eastAsia="宋体"/>
                      <w:u w:val="none"/>
                      <w:lang w:eastAsia="zh-CN"/>
                    </w:rPr>
                    <w:drawing>
                      <wp:inline distT="0" distB="0" distL="114300" distR="114300">
                        <wp:extent cx="4895850" cy="4759325"/>
                        <wp:effectExtent l="0" t="0" r="11430" b="10795"/>
                        <wp:docPr id="79" name="图片 79" descr="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新"/>
                                <pic:cNvPicPr>
                                  <a:picLocks noChangeAspect="1"/>
                                </pic:cNvPicPr>
                              </pic:nvPicPr>
                              <pic:blipFill>
                                <a:blip r:embed="rId14"/>
                                <a:stretch>
                                  <a:fillRect/>
                                </a:stretch>
                              </pic:blipFill>
                              <pic:spPr>
                                <a:xfrm>
                                  <a:off x="0" y="0"/>
                                  <a:ext cx="4895850" cy="4759325"/>
                                </a:xfrm>
                                <a:prstGeom prst="rect">
                                  <a:avLst/>
                                </a:prstGeom>
                              </pic:spPr>
                            </pic:pic>
                          </a:graphicData>
                        </a:graphic>
                      </wp:inline>
                    </w:drawing>
                  </w:r>
                </w:p>
              </w:tc>
            </w:tr>
          </w:tbl>
          <w:p w14:paraId="1823EF98">
            <w:pPr>
              <w:jc w:val="center"/>
              <w:rPr>
                <w:b/>
                <w:bCs/>
                <w:highlight w:val="none"/>
                <w:u w:val="none"/>
              </w:rPr>
            </w:pPr>
            <w:r>
              <w:rPr>
                <w:b/>
                <w:bCs/>
                <w:highlight w:val="none"/>
                <w:u w:val="none"/>
              </w:rPr>
              <w:t>图</w:t>
            </w:r>
            <w:r>
              <w:rPr>
                <w:rFonts w:hint="eastAsia"/>
                <w:b/>
                <w:bCs/>
                <w:highlight w:val="none"/>
                <w:u w:val="none"/>
              </w:rPr>
              <w:t>4.7</w:t>
            </w:r>
            <w:r>
              <w:rPr>
                <w:b/>
                <w:bCs/>
                <w:highlight w:val="none"/>
                <w:u w:val="none"/>
              </w:rPr>
              <w:t>-1</w:t>
            </w:r>
            <w:r>
              <w:rPr>
                <w:rFonts w:hint="eastAsia"/>
                <w:b/>
                <w:bCs/>
                <w:highlight w:val="none"/>
                <w:u w:val="none"/>
                <w:lang w:val="en-US" w:eastAsia="zh-CN"/>
              </w:rPr>
              <w:t xml:space="preserve"> </w:t>
            </w:r>
            <w:r>
              <w:rPr>
                <w:rFonts w:hint="eastAsia"/>
                <w:b/>
                <w:bCs/>
                <w:highlight w:val="none"/>
                <w:u w:val="none"/>
              </w:rPr>
              <w:t>220kV</w:t>
            </w:r>
            <w:r>
              <w:rPr>
                <w:rFonts w:hint="eastAsia"/>
                <w:b/>
                <w:bCs/>
                <w:highlight w:val="none"/>
                <w:u w:val="none"/>
                <w:lang w:val="en-US" w:eastAsia="zh-CN"/>
              </w:rPr>
              <w:t>果山</w:t>
            </w:r>
            <w:r>
              <w:rPr>
                <w:b/>
                <w:bCs/>
                <w:highlight w:val="none"/>
                <w:u w:val="none"/>
              </w:rPr>
              <w:t>变电站噪声贡献值等声级曲线预测图</w:t>
            </w:r>
          </w:p>
          <w:p w14:paraId="29DE8614">
            <w:pPr>
              <w:ind w:firstLine="480" w:firstLineChars="200"/>
              <w:rPr>
                <w:highlight w:val="none"/>
                <w:u w:val="none"/>
              </w:rPr>
            </w:pPr>
            <w:r>
              <w:rPr>
                <w:highlight w:val="none"/>
                <w:u w:val="none"/>
              </w:rPr>
              <w:t>经过与现状值叠加后，</w:t>
            </w:r>
            <w:r>
              <w:rPr>
                <w:rFonts w:hint="eastAsia"/>
                <w:highlight w:val="none"/>
                <w:u w:val="none"/>
              </w:rPr>
              <w:t>噪声预测值见表4.7-2。</w:t>
            </w:r>
          </w:p>
          <w:p w14:paraId="34E4AE43">
            <w:pPr>
              <w:pStyle w:val="30"/>
              <w:spacing w:before="72" w:after="120"/>
              <w:rPr>
                <w:sz w:val="24"/>
                <w:highlight w:val="none"/>
                <w:u w:val="none"/>
              </w:rPr>
            </w:pPr>
            <w:r>
              <w:rPr>
                <w:rFonts w:hint="eastAsia"/>
                <w:sz w:val="24"/>
                <w:highlight w:val="none"/>
                <w:u w:val="none"/>
              </w:rPr>
              <w:t>表4.7-</w:t>
            </w:r>
            <w:r>
              <w:rPr>
                <w:rFonts w:hint="eastAsia"/>
                <w:sz w:val="24"/>
                <w:highlight w:val="none"/>
                <w:u w:val="none"/>
                <w:lang w:val="en-US" w:eastAsia="zh-CN"/>
              </w:rPr>
              <w:t xml:space="preserve">3 </w:t>
            </w:r>
            <w:r>
              <w:rPr>
                <w:sz w:val="24"/>
                <w:highlight w:val="none"/>
                <w:u w:val="none"/>
              </w:rPr>
              <w:t>220kV</w:t>
            </w:r>
            <w:r>
              <w:rPr>
                <w:rFonts w:hint="eastAsia"/>
                <w:sz w:val="24"/>
                <w:highlight w:val="none"/>
                <w:u w:val="none"/>
                <w:lang w:val="en-US" w:eastAsia="zh-CN"/>
              </w:rPr>
              <w:t>果山</w:t>
            </w:r>
            <w:r>
              <w:rPr>
                <w:sz w:val="24"/>
                <w:highlight w:val="none"/>
                <w:u w:val="none"/>
              </w:rPr>
              <w:t>变电站环境噪声预测结果</w:t>
            </w:r>
          </w:p>
          <w:tbl>
            <w:tblPr>
              <w:tblStyle w:val="19"/>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91"/>
              <w:gridCol w:w="665"/>
              <w:gridCol w:w="616"/>
              <w:gridCol w:w="1377"/>
              <w:gridCol w:w="1345"/>
              <w:gridCol w:w="1252"/>
              <w:gridCol w:w="854"/>
              <w:gridCol w:w="630"/>
            </w:tblGrid>
            <w:tr w14:paraId="7840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78" w:type="pct"/>
                  <w:vMerge w:val="restart"/>
                  <w:vAlign w:val="center"/>
                </w:tcPr>
                <w:p w14:paraId="372EDB68">
                  <w:pPr>
                    <w:pStyle w:val="30"/>
                    <w:spacing w:before="72" w:after="120"/>
                    <w:rPr>
                      <w:highlight w:val="none"/>
                      <w:u w:val="none"/>
                    </w:rPr>
                  </w:pPr>
                  <w:r>
                    <w:rPr>
                      <w:rFonts w:hint="eastAsia"/>
                      <w:highlight w:val="none"/>
                      <w:u w:val="none"/>
                    </w:rPr>
                    <w:t>监测点位</w:t>
                  </w:r>
                </w:p>
              </w:tc>
              <w:tc>
                <w:tcPr>
                  <w:tcW w:w="808" w:type="pct"/>
                  <w:vMerge w:val="restart"/>
                  <w:vAlign w:val="center"/>
                </w:tcPr>
                <w:p w14:paraId="36D10164">
                  <w:pPr>
                    <w:pStyle w:val="30"/>
                    <w:spacing w:before="72" w:after="120"/>
                    <w:rPr>
                      <w:highlight w:val="none"/>
                      <w:u w:val="none"/>
                    </w:rPr>
                  </w:pPr>
                  <w:r>
                    <w:rPr>
                      <w:highlight w:val="none"/>
                      <w:u w:val="none"/>
                    </w:rPr>
                    <w:t>名称</w:t>
                  </w:r>
                </w:p>
              </w:tc>
              <w:tc>
                <w:tcPr>
                  <w:tcW w:w="744" w:type="pct"/>
                  <w:gridSpan w:val="2"/>
                  <w:vAlign w:val="center"/>
                </w:tcPr>
                <w:p w14:paraId="57B88A11">
                  <w:pPr>
                    <w:pStyle w:val="30"/>
                    <w:spacing w:before="72" w:after="120"/>
                    <w:rPr>
                      <w:highlight w:val="none"/>
                      <w:u w:val="none"/>
                    </w:rPr>
                  </w:pPr>
                  <w:r>
                    <w:rPr>
                      <w:highlight w:val="none"/>
                      <w:u w:val="none"/>
                    </w:rPr>
                    <w:t>环境现状值dB(A)</w:t>
                  </w:r>
                </w:p>
              </w:tc>
              <w:tc>
                <w:tcPr>
                  <w:tcW w:w="800" w:type="pct"/>
                  <w:vMerge w:val="restart"/>
                  <w:vAlign w:val="center"/>
                </w:tcPr>
                <w:p w14:paraId="1609DBD6">
                  <w:pPr>
                    <w:pStyle w:val="30"/>
                    <w:spacing w:before="72" w:after="120"/>
                    <w:rPr>
                      <w:highlight w:val="none"/>
                      <w:u w:val="none"/>
                    </w:rPr>
                  </w:pPr>
                  <w:r>
                    <w:rPr>
                      <w:highlight w:val="none"/>
                      <w:u w:val="none"/>
                    </w:rPr>
                    <w:t>贡献值</w:t>
                  </w:r>
                </w:p>
                <w:p w14:paraId="3BC565C8">
                  <w:pPr>
                    <w:pStyle w:val="30"/>
                    <w:spacing w:before="72" w:after="120"/>
                    <w:rPr>
                      <w:highlight w:val="none"/>
                      <w:u w:val="none"/>
                    </w:rPr>
                  </w:pPr>
                  <w:r>
                    <w:rPr>
                      <w:highlight w:val="none"/>
                      <w:u w:val="none"/>
                    </w:rPr>
                    <w:t>dB(A)</w:t>
                  </w:r>
                </w:p>
              </w:tc>
              <w:tc>
                <w:tcPr>
                  <w:tcW w:w="1508" w:type="pct"/>
                  <w:gridSpan w:val="2"/>
                  <w:vAlign w:val="center"/>
                </w:tcPr>
                <w:p w14:paraId="6159B383">
                  <w:pPr>
                    <w:pStyle w:val="30"/>
                    <w:spacing w:before="72" w:after="120"/>
                    <w:rPr>
                      <w:highlight w:val="none"/>
                      <w:u w:val="none"/>
                    </w:rPr>
                  </w:pPr>
                  <w:r>
                    <w:rPr>
                      <w:highlight w:val="none"/>
                      <w:u w:val="none"/>
                    </w:rPr>
                    <w:t>预测值dB(A)</w:t>
                  </w:r>
                </w:p>
              </w:tc>
              <w:tc>
                <w:tcPr>
                  <w:tcW w:w="496" w:type="pct"/>
                  <w:vMerge w:val="restart"/>
                  <w:vAlign w:val="center"/>
                </w:tcPr>
                <w:p w14:paraId="0EB56980">
                  <w:pPr>
                    <w:pStyle w:val="30"/>
                    <w:spacing w:before="72" w:after="120"/>
                    <w:rPr>
                      <w:highlight w:val="none"/>
                      <w:u w:val="none"/>
                    </w:rPr>
                  </w:pPr>
                  <w:r>
                    <w:rPr>
                      <w:highlight w:val="none"/>
                      <w:u w:val="none"/>
                    </w:rPr>
                    <w:t>标准</w:t>
                  </w:r>
                </w:p>
                <w:p w14:paraId="475457E5">
                  <w:pPr>
                    <w:pStyle w:val="30"/>
                    <w:spacing w:before="72" w:after="120"/>
                    <w:rPr>
                      <w:highlight w:val="none"/>
                      <w:u w:val="none"/>
                    </w:rPr>
                  </w:pPr>
                  <w:r>
                    <w:rPr>
                      <w:highlight w:val="none"/>
                      <w:u w:val="none"/>
                    </w:rPr>
                    <w:t>（dB（A））</w:t>
                  </w:r>
                </w:p>
              </w:tc>
              <w:tc>
                <w:tcPr>
                  <w:tcW w:w="364" w:type="pct"/>
                  <w:vMerge w:val="restart"/>
                  <w:vAlign w:val="center"/>
                </w:tcPr>
                <w:p w14:paraId="19A476F4">
                  <w:pPr>
                    <w:pStyle w:val="30"/>
                    <w:spacing w:before="72" w:after="120"/>
                    <w:rPr>
                      <w:highlight w:val="none"/>
                      <w:u w:val="none"/>
                    </w:rPr>
                  </w:pPr>
                  <w:r>
                    <w:rPr>
                      <w:highlight w:val="none"/>
                      <w:u w:val="none"/>
                    </w:rPr>
                    <w:t>达标情况</w:t>
                  </w:r>
                </w:p>
              </w:tc>
            </w:tr>
            <w:tr w14:paraId="2864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78" w:type="pct"/>
                  <w:vMerge w:val="continue"/>
                  <w:vAlign w:val="center"/>
                </w:tcPr>
                <w:p w14:paraId="0CB9636C">
                  <w:pPr>
                    <w:pStyle w:val="30"/>
                    <w:spacing w:before="72" w:after="120"/>
                    <w:rPr>
                      <w:highlight w:val="none"/>
                      <w:u w:val="none"/>
                    </w:rPr>
                  </w:pPr>
                </w:p>
              </w:tc>
              <w:tc>
                <w:tcPr>
                  <w:tcW w:w="808" w:type="pct"/>
                  <w:vMerge w:val="continue"/>
                  <w:vAlign w:val="center"/>
                </w:tcPr>
                <w:p w14:paraId="449188BC">
                  <w:pPr>
                    <w:pStyle w:val="30"/>
                    <w:spacing w:before="72" w:after="120"/>
                    <w:rPr>
                      <w:highlight w:val="none"/>
                      <w:u w:val="none"/>
                    </w:rPr>
                  </w:pPr>
                </w:p>
              </w:tc>
              <w:tc>
                <w:tcPr>
                  <w:tcW w:w="386" w:type="pct"/>
                  <w:vAlign w:val="center"/>
                </w:tcPr>
                <w:p w14:paraId="4116F85F">
                  <w:pPr>
                    <w:pStyle w:val="30"/>
                    <w:spacing w:before="72" w:after="120"/>
                    <w:rPr>
                      <w:highlight w:val="none"/>
                      <w:u w:val="none"/>
                    </w:rPr>
                  </w:pPr>
                  <w:r>
                    <w:rPr>
                      <w:highlight w:val="none"/>
                      <w:u w:val="none"/>
                    </w:rPr>
                    <w:t>昼间</w:t>
                  </w:r>
                </w:p>
              </w:tc>
              <w:tc>
                <w:tcPr>
                  <w:tcW w:w="358" w:type="pct"/>
                  <w:vAlign w:val="center"/>
                </w:tcPr>
                <w:p w14:paraId="2F1F45C3">
                  <w:pPr>
                    <w:pStyle w:val="30"/>
                    <w:spacing w:before="72" w:after="120"/>
                    <w:rPr>
                      <w:highlight w:val="none"/>
                      <w:u w:val="none"/>
                    </w:rPr>
                  </w:pPr>
                  <w:r>
                    <w:rPr>
                      <w:highlight w:val="none"/>
                      <w:u w:val="none"/>
                    </w:rPr>
                    <w:t>夜间</w:t>
                  </w:r>
                </w:p>
              </w:tc>
              <w:tc>
                <w:tcPr>
                  <w:tcW w:w="800" w:type="pct"/>
                  <w:vMerge w:val="continue"/>
                  <w:vAlign w:val="center"/>
                </w:tcPr>
                <w:p w14:paraId="41170BE4">
                  <w:pPr>
                    <w:pStyle w:val="30"/>
                    <w:spacing w:before="72" w:after="120"/>
                    <w:rPr>
                      <w:highlight w:val="none"/>
                      <w:u w:val="none"/>
                    </w:rPr>
                  </w:pPr>
                </w:p>
              </w:tc>
              <w:tc>
                <w:tcPr>
                  <w:tcW w:w="781" w:type="pct"/>
                  <w:vAlign w:val="center"/>
                </w:tcPr>
                <w:p w14:paraId="4E533379">
                  <w:pPr>
                    <w:pStyle w:val="30"/>
                    <w:spacing w:before="72" w:after="120"/>
                    <w:rPr>
                      <w:highlight w:val="none"/>
                      <w:u w:val="none"/>
                    </w:rPr>
                  </w:pPr>
                  <w:r>
                    <w:rPr>
                      <w:highlight w:val="none"/>
                      <w:u w:val="none"/>
                    </w:rPr>
                    <w:t>昼间</w:t>
                  </w:r>
                </w:p>
              </w:tc>
              <w:tc>
                <w:tcPr>
                  <w:tcW w:w="727" w:type="pct"/>
                  <w:vAlign w:val="center"/>
                </w:tcPr>
                <w:p w14:paraId="6FCF22D9">
                  <w:pPr>
                    <w:pStyle w:val="30"/>
                    <w:spacing w:before="72" w:after="120"/>
                    <w:rPr>
                      <w:highlight w:val="none"/>
                      <w:u w:val="none"/>
                    </w:rPr>
                  </w:pPr>
                  <w:r>
                    <w:rPr>
                      <w:highlight w:val="none"/>
                      <w:u w:val="none"/>
                    </w:rPr>
                    <w:t>夜间</w:t>
                  </w:r>
                </w:p>
              </w:tc>
              <w:tc>
                <w:tcPr>
                  <w:tcW w:w="496" w:type="pct"/>
                  <w:vMerge w:val="continue"/>
                  <w:vAlign w:val="center"/>
                </w:tcPr>
                <w:p w14:paraId="2203AC61">
                  <w:pPr>
                    <w:pStyle w:val="32"/>
                    <w:rPr>
                      <w:sz w:val="24"/>
                      <w:szCs w:val="24"/>
                      <w:highlight w:val="none"/>
                      <w:u w:val="none"/>
                      <w:lang w:eastAsia="zh-CN"/>
                    </w:rPr>
                  </w:pPr>
                </w:p>
              </w:tc>
              <w:tc>
                <w:tcPr>
                  <w:tcW w:w="364" w:type="pct"/>
                  <w:vMerge w:val="continue"/>
                  <w:vAlign w:val="center"/>
                </w:tcPr>
                <w:p w14:paraId="71964275">
                  <w:pPr>
                    <w:pStyle w:val="32"/>
                    <w:rPr>
                      <w:sz w:val="24"/>
                      <w:szCs w:val="24"/>
                      <w:highlight w:val="none"/>
                      <w:u w:val="none"/>
                      <w:lang w:eastAsia="zh-CN"/>
                    </w:rPr>
                  </w:pPr>
                </w:p>
              </w:tc>
            </w:tr>
            <w:tr w14:paraId="1E5F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9"/>
                  <w:vAlign w:val="center"/>
                </w:tcPr>
                <w:p w14:paraId="1B11C883">
                  <w:pPr>
                    <w:pStyle w:val="32"/>
                    <w:rPr>
                      <w:highlight w:val="none"/>
                      <w:u w:val="none"/>
                      <w:lang w:eastAsia="zh-CN"/>
                    </w:rPr>
                  </w:pPr>
                  <w:r>
                    <w:rPr>
                      <w:b/>
                      <w:bCs/>
                      <w:highlight w:val="none"/>
                      <w:u w:val="none"/>
                      <w:lang w:eastAsia="zh-CN"/>
                    </w:rPr>
                    <w:t>厂界</w:t>
                  </w:r>
                </w:p>
              </w:tc>
            </w:tr>
            <w:tr w14:paraId="68E2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3" w:type="dxa"/>
                  <w:vAlign w:val="center"/>
                </w:tcPr>
                <w:p w14:paraId="69FA184E">
                  <w:pPr>
                    <w:pStyle w:val="32"/>
                    <w:rPr>
                      <w:highlight w:val="none"/>
                      <w:u w:val="none"/>
                      <w:lang w:eastAsia="zh-CN"/>
                    </w:rPr>
                  </w:pPr>
                  <w:bookmarkStart w:id="58" w:name="OLE_LINK10" w:colFirst="5" w:colLast="5"/>
                  <w:bookmarkStart w:id="59" w:name="OLE_LINK11" w:colFirst="6" w:colLast="6"/>
                  <w:r>
                    <w:rPr>
                      <w:rFonts w:hint="eastAsia" w:ascii="Times New Roman" w:hAnsi="Times New Roman" w:eastAsia="宋体" w:cs="Times New Roman"/>
                      <w:highlight w:val="none"/>
                      <w:u w:val="none"/>
                      <w:lang w:val="en-US" w:eastAsia="zh-CN"/>
                    </w:rPr>
                    <w:t>1#</w:t>
                  </w:r>
                </w:p>
              </w:tc>
              <w:tc>
                <w:tcPr>
                  <w:tcW w:w="1380" w:type="dxa"/>
                  <w:vAlign w:val="center"/>
                </w:tcPr>
                <w:p w14:paraId="307E36EA">
                  <w:pPr>
                    <w:pStyle w:val="32"/>
                    <w:rPr>
                      <w:highlight w:val="none"/>
                      <w:u w:val="none"/>
                      <w:lang w:eastAsia="zh-CN"/>
                    </w:rPr>
                  </w:pPr>
                  <w:r>
                    <w:rPr>
                      <w:rFonts w:hint="eastAsia" w:ascii="Times New Roman" w:hAnsi="Times New Roman" w:eastAsia="宋体" w:cs="Times New Roman"/>
                      <w:highlight w:val="none"/>
                      <w:u w:val="none"/>
                      <w:lang w:val="en-US" w:eastAsia="zh-CN"/>
                    </w:rPr>
                    <w:t>变电站西侧</w:t>
                  </w:r>
                </w:p>
              </w:tc>
              <w:tc>
                <w:tcPr>
                  <w:tcW w:w="650" w:type="dxa"/>
                  <w:vAlign w:val="center"/>
                </w:tcPr>
                <w:p w14:paraId="2463AA45">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46</w:t>
                  </w:r>
                </w:p>
              </w:tc>
              <w:tc>
                <w:tcPr>
                  <w:tcW w:w="601" w:type="dxa"/>
                  <w:vAlign w:val="center"/>
                </w:tcPr>
                <w:p w14:paraId="3FE1771E">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43</w:t>
                  </w:r>
                </w:p>
              </w:tc>
              <w:tc>
                <w:tcPr>
                  <w:tcW w:w="1366" w:type="dxa"/>
                  <w:vAlign w:val="center"/>
                </w:tcPr>
                <w:p w14:paraId="27342026">
                  <w:pPr>
                    <w:pStyle w:val="32"/>
                    <w:rPr>
                      <w:highlight w:val="none"/>
                      <w:u w:val="none"/>
                      <w:lang w:eastAsia="zh-CN"/>
                    </w:rPr>
                  </w:pPr>
                  <w:r>
                    <w:rPr>
                      <w:rFonts w:hint="eastAsia" w:ascii="Times New Roman" w:hAnsi="Times New Roman" w:eastAsia="宋体" w:cs="Times New Roman"/>
                      <w:highlight w:val="none"/>
                      <w:u w:val="none"/>
                      <w:lang w:val="en-US" w:eastAsia="zh-CN"/>
                    </w:rPr>
                    <w:t>20.8~22</w:t>
                  </w:r>
                </w:p>
              </w:tc>
              <w:tc>
                <w:tcPr>
                  <w:tcW w:w="1333" w:type="dxa"/>
                  <w:vAlign w:val="center"/>
                </w:tcPr>
                <w:p w14:paraId="120F0A27">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46.0</w:t>
                  </w:r>
                </w:p>
              </w:tc>
              <w:tc>
                <w:tcPr>
                  <w:tcW w:w="1240" w:type="dxa"/>
                  <w:vAlign w:val="center"/>
                </w:tcPr>
                <w:p w14:paraId="43B180AC">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43.0</w:t>
                  </w:r>
                </w:p>
              </w:tc>
              <w:tc>
                <w:tcPr>
                  <w:tcW w:w="496" w:type="pct"/>
                  <w:vAlign w:val="center"/>
                </w:tcPr>
                <w:p w14:paraId="2BDADD51">
                  <w:pPr>
                    <w:pStyle w:val="32"/>
                    <w:rPr>
                      <w:highlight w:val="none"/>
                      <w:u w:val="none"/>
                      <w:lang w:eastAsia="zh-CN"/>
                    </w:rPr>
                  </w:pPr>
                  <w:r>
                    <w:rPr>
                      <w:highlight w:val="none"/>
                      <w:u w:val="none"/>
                      <w:lang w:eastAsia="zh-CN"/>
                    </w:rPr>
                    <w:t>昼:6</w:t>
                  </w:r>
                  <w:r>
                    <w:rPr>
                      <w:rFonts w:hint="eastAsia"/>
                      <w:highlight w:val="none"/>
                      <w:u w:val="none"/>
                      <w:lang w:eastAsia="zh-CN"/>
                    </w:rPr>
                    <w:t>5</w:t>
                  </w:r>
                </w:p>
                <w:p w14:paraId="418EF226">
                  <w:pPr>
                    <w:pStyle w:val="32"/>
                    <w:rPr>
                      <w:highlight w:val="none"/>
                      <w:u w:val="none"/>
                      <w:lang w:eastAsia="zh-CN"/>
                    </w:rPr>
                  </w:pPr>
                  <w:r>
                    <w:rPr>
                      <w:highlight w:val="none"/>
                      <w:u w:val="none"/>
                      <w:lang w:eastAsia="zh-CN"/>
                    </w:rPr>
                    <w:t>夜:5</w:t>
                  </w:r>
                  <w:r>
                    <w:rPr>
                      <w:rFonts w:hint="eastAsia"/>
                      <w:highlight w:val="none"/>
                      <w:u w:val="none"/>
                      <w:lang w:eastAsia="zh-CN"/>
                    </w:rPr>
                    <w:t>5</w:t>
                  </w:r>
                </w:p>
              </w:tc>
              <w:tc>
                <w:tcPr>
                  <w:tcW w:w="364" w:type="pct"/>
                  <w:vAlign w:val="center"/>
                </w:tcPr>
                <w:p w14:paraId="5BA7AD1B">
                  <w:pPr>
                    <w:pStyle w:val="32"/>
                    <w:rPr>
                      <w:highlight w:val="none"/>
                      <w:u w:val="none"/>
                      <w:lang w:eastAsia="zh-CN"/>
                    </w:rPr>
                  </w:pPr>
                  <w:r>
                    <w:rPr>
                      <w:highlight w:val="none"/>
                      <w:u w:val="none"/>
                      <w:lang w:eastAsia="zh-CN"/>
                    </w:rPr>
                    <w:t>达标</w:t>
                  </w:r>
                </w:p>
              </w:tc>
            </w:tr>
            <w:tr w14:paraId="6265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3" w:type="dxa"/>
                  <w:vAlign w:val="center"/>
                </w:tcPr>
                <w:p w14:paraId="5FCB05E8">
                  <w:pPr>
                    <w:pStyle w:val="32"/>
                    <w:rPr>
                      <w:highlight w:val="none"/>
                      <w:u w:val="none"/>
                      <w:lang w:eastAsia="zh-CN"/>
                    </w:rPr>
                  </w:pPr>
                  <w:r>
                    <w:rPr>
                      <w:rFonts w:hint="eastAsia" w:ascii="Times New Roman" w:hAnsi="Times New Roman" w:eastAsia="宋体" w:cs="Times New Roman"/>
                      <w:highlight w:val="none"/>
                      <w:u w:val="none"/>
                      <w:lang w:val="en-US" w:eastAsia="zh-CN"/>
                    </w:rPr>
                    <w:t>2#</w:t>
                  </w:r>
                </w:p>
              </w:tc>
              <w:tc>
                <w:tcPr>
                  <w:tcW w:w="1380" w:type="dxa"/>
                  <w:vAlign w:val="center"/>
                </w:tcPr>
                <w:p w14:paraId="5D16C3B1">
                  <w:pPr>
                    <w:pStyle w:val="32"/>
                    <w:rPr>
                      <w:highlight w:val="none"/>
                      <w:u w:val="none"/>
                      <w:lang w:eastAsia="zh-CN"/>
                    </w:rPr>
                  </w:pPr>
                  <w:r>
                    <w:rPr>
                      <w:rFonts w:hint="eastAsia" w:ascii="Times New Roman" w:hAnsi="Times New Roman" w:eastAsia="宋体" w:cs="Times New Roman"/>
                      <w:highlight w:val="none"/>
                      <w:u w:val="none"/>
                      <w:lang w:val="en-US" w:eastAsia="zh-CN"/>
                    </w:rPr>
                    <w:t>变电站北侧</w:t>
                  </w:r>
                </w:p>
              </w:tc>
              <w:tc>
                <w:tcPr>
                  <w:tcW w:w="650" w:type="dxa"/>
                  <w:vAlign w:val="center"/>
                </w:tcPr>
                <w:p w14:paraId="5F82B767">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42</w:t>
                  </w:r>
                </w:p>
              </w:tc>
              <w:tc>
                <w:tcPr>
                  <w:tcW w:w="601" w:type="dxa"/>
                  <w:vAlign w:val="center"/>
                </w:tcPr>
                <w:p w14:paraId="73B332E3">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41</w:t>
                  </w:r>
                </w:p>
              </w:tc>
              <w:tc>
                <w:tcPr>
                  <w:tcW w:w="1366" w:type="dxa"/>
                  <w:vAlign w:val="center"/>
                </w:tcPr>
                <w:p w14:paraId="0158EBD9">
                  <w:pPr>
                    <w:pStyle w:val="32"/>
                    <w:rPr>
                      <w:highlight w:val="none"/>
                      <w:u w:val="none"/>
                      <w:lang w:eastAsia="zh-CN"/>
                    </w:rPr>
                  </w:pPr>
                  <w:r>
                    <w:rPr>
                      <w:rFonts w:hint="eastAsia" w:ascii="Times New Roman" w:hAnsi="Times New Roman" w:eastAsia="宋体" w:cs="Times New Roman"/>
                      <w:highlight w:val="none"/>
                      <w:u w:val="none"/>
                      <w:lang w:val="en-US" w:eastAsia="zh-CN"/>
                    </w:rPr>
                    <w:t>22.3~23.4</w:t>
                  </w:r>
                </w:p>
              </w:tc>
              <w:tc>
                <w:tcPr>
                  <w:tcW w:w="1333" w:type="dxa"/>
                  <w:vAlign w:val="center"/>
                </w:tcPr>
                <w:p w14:paraId="7689E9F3">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42.0</w:t>
                  </w:r>
                </w:p>
              </w:tc>
              <w:tc>
                <w:tcPr>
                  <w:tcW w:w="1240" w:type="dxa"/>
                  <w:vAlign w:val="center"/>
                </w:tcPr>
                <w:p w14:paraId="72BC3070">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41.0</w:t>
                  </w:r>
                </w:p>
              </w:tc>
              <w:tc>
                <w:tcPr>
                  <w:tcW w:w="496" w:type="pct"/>
                  <w:vAlign w:val="center"/>
                </w:tcPr>
                <w:p w14:paraId="67011266">
                  <w:pPr>
                    <w:pStyle w:val="32"/>
                    <w:rPr>
                      <w:highlight w:val="none"/>
                      <w:u w:val="none"/>
                      <w:lang w:eastAsia="zh-CN"/>
                    </w:rPr>
                  </w:pPr>
                  <w:r>
                    <w:rPr>
                      <w:highlight w:val="none"/>
                      <w:u w:val="none"/>
                      <w:lang w:eastAsia="zh-CN"/>
                    </w:rPr>
                    <w:t>昼:6</w:t>
                  </w:r>
                  <w:r>
                    <w:rPr>
                      <w:rFonts w:hint="eastAsia"/>
                      <w:highlight w:val="none"/>
                      <w:u w:val="none"/>
                      <w:lang w:eastAsia="zh-CN"/>
                    </w:rPr>
                    <w:t>5</w:t>
                  </w:r>
                </w:p>
                <w:p w14:paraId="7DDF0F4A">
                  <w:pPr>
                    <w:pStyle w:val="32"/>
                    <w:rPr>
                      <w:highlight w:val="none"/>
                      <w:u w:val="none"/>
                      <w:lang w:eastAsia="zh-CN"/>
                    </w:rPr>
                  </w:pPr>
                  <w:r>
                    <w:rPr>
                      <w:highlight w:val="none"/>
                      <w:u w:val="none"/>
                      <w:lang w:eastAsia="zh-CN"/>
                    </w:rPr>
                    <w:t>夜:5</w:t>
                  </w:r>
                  <w:r>
                    <w:rPr>
                      <w:rFonts w:hint="eastAsia"/>
                      <w:highlight w:val="none"/>
                      <w:u w:val="none"/>
                      <w:lang w:eastAsia="zh-CN"/>
                    </w:rPr>
                    <w:t>5</w:t>
                  </w:r>
                </w:p>
              </w:tc>
              <w:tc>
                <w:tcPr>
                  <w:tcW w:w="364" w:type="pct"/>
                  <w:vAlign w:val="center"/>
                </w:tcPr>
                <w:p w14:paraId="6169F3BA">
                  <w:pPr>
                    <w:pStyle w:val="32"/>
                    <w:rPr>
                      <w:highlight w:val="none"/>
                      <w:u w:val="none"/>
                      <w:lang w:eastAsia="zh-CN"/>
                    </w:rPr>
                  </w:pPr>
                  <w:r>
                    <w:rPr>
                      <w:highlight w:val="none"/>
                      <w:u w:val="none"/>
                      <w:lang w:eastAsia="zh-CN"/>
                    </w:rPr>
                    <w:t>达标</w:t>
                  </w:r>
                </w:p>
              </w:tc>
            </w:tr>
            <w:tr w14:paraId="3595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3" w:type="dxa"/>
                  <w:vAlign w:val="center"/>
                </w:tcPr>
                <w:p w14:paraId="1B75B1D3">
                  <w:pPr>
                    <w:pStyle w:val="32"/>
                    <w:rPr>
                      <w:highlight w:val="none"/>
                      <w:u w:val="none"/>
                      <w:lang w:eastAsia="zh-CN"/>
                    </w:rPr>
                  </w:pPr>
                  <w:r>
                    <w:rPr>
                      <w:rFonts w:hint="eastAsia" w:ascii="Times New Roman" w:hAnsi="Times New Roman" w:eastAsia="宋体" w:cs="Times New Roman"/>
                      <w:highlight w:val="none"/>
                      <w:u w:val="none"/>
                      <w:lang w:val="en-US" w:eastAsia="zh-CN"/>
                    </w:rPr>
                    <w:t>3#</w:t>
                  </w:r>
                </w:p>
              </w:tc>
              <w:tc>
                <w:tcPr>
                  <w:tcW w:w="1380" w:type="dxa"/>
                  <w:vAlign w:val="center"/>
                </w:tcPr>
                <w:p w14:paraId="1AE0400B">
                  <w:pPr>
                    <w:pStyle w:val="32"/>
                    <w:rPr>
                      <w:highlight w:val="none"/>
                      <w:u w:val="none"/>
                      <w:lang w:eastAsia="zh-CN"/>
                    </w:rPr>
                  </w:pPr>
                  <w:r>
                    <w:rPr>
                      <w:rFonts w:hint="eastAsia" w:ascii="Times New Roman" w:hAnsi="Times New Roman" w:eastAsia="宋体" w:cs="Times New Roman"/>
                      <w:highlight w:val="none"/>
                      <w:u w:val="none"/>
                      <w:lang w:val="en-US" w:eastAsia="zh-CN"/>
                    </w:rPr>
                    <w:t>变电站东侧</w:t>
                  </w:r>
                </w:p>
              </w:tc>
              <w:tc>
                <w:tcPr>
                  <w:tcW w:w="650" w:type="dxa"/>
                  <w:vAlign w:val="center"/>
                </w:tcPr>
                <w:p w14:paraId="1076B0C4">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44</w:t>
                  </w:r>
                </w:p>
              </w:tc>
              <w:tc>
                <w:tcPr>
                  <w:tcW w:w="601" w:type="dxa"/>
                  <w:vAlign w:val="center"/>
                </w:tcPr>
                <w:p w14:paraId="4CB1A97C">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42</w:t>
                  </w:r>
                </w:p>
              </w:tc>
              <w:tc>
                <w:tcPr>
                  <w:tcW w:w="1366" w:type="dxa"/>
                  <w:vAlign w:val="center"/>
                </w:tcPr>
                <w:p w14:paraId="107FA04F">
                  <w:pPr>
                    <w:pStyle w:val="32"/>
                    <w:rPr>
                      <w:highlight w:val="none"/>
                      <w:u w:val="none"/>
                      <w:lang w:eastAsia="zh-CN"/>
                    </w:rPr>
                  </w:pPr>
                  <w:r>
                    <w:rPr>
                      <w:rFonts w:hint="eastAsia" w:ascii="Times New Roman" w:hAnsi="Times New Roman" w:eastAsia="宋体" w:cs="Times New Roman"/>
                      <w:highlight w:val="none"/>
                      <w:u w:val="none"/>
                      <w:lang w:val="en-US" w:eastAsia="zh-CN"/>
                    </w:rPr>
                    <w:t>33.4~34.3</w:t>
                  </w:r>
                </w:p>
              </w:tc>
              <w:tc>
                <w:tcPr>
                  <w:tcW w:w="1333" w:type="dxa"/>
                  <w:vAlign w:val="center"/>
                </w:tcPr>
                <w:p w14:paraId="4EA6E504">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44.0</w:t>
                  </w:r>
                </w:p>
              </w:tc>
              <w:tc>
                <w:tcPr>
                  <w:tcW w:w="1240" w:type="dxa"/>
                  <w:vAlign w:val="center"/>
                </w:tcPr>
                <w:p w14:paraId="02165AD9">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42.6~42.7</w:t>
                  </w:r>
                </w:p>
              </w:tc>
              <w:tc>
                <w:tcPr>
                  <w:tcW w:w="496" w:type="pct"/>
                  <w:vAlign w:val="center"/>
                </w:tcPr>
                <w:p w14:paraId="56A574C9">
                  <w:pPr>
                    <w:pStyle w:val="32"/>
                    <w:rPr>
                      <w:highlight w:val="none"/>
                      <w:u w:val="none"/>
                      <w:lang w:eastAsia="zh-CN"/>
                    </w:rPr>
                  </w:pPr>
                  <w:r>
                    <w:rPr>
                      <w:highlight w:val="none"/>
                      <w:u w:val="none"/>
                      <w:lang w:eastAsia="zh-CN"/>
                    </w:rPr>
                    <w:t>昼:6</w:t>
                  </w:r>
                  <w:r>
                    <w:rPr>
                      <w:rFonts w:hint="eastAsia"/>
                      <w:highlight w:val="none"/>
                      <w:u w:val="none"/>
                      <w:lang w:eastAsia="zh-CN"/>
                    </w:rPr>
                    <w:t>5</w:t>
                  </w:r>
                </w:p>
                <w:p w14:paraId="180EB2F1">
                  <w:pPr>
                    <w:pStyle w:val="32"/>
                    <w:rPr>
                      <w:highlight w:val="none"/>
                      <w:u w:val="none"/>
                      <w:lang w:eastAsia="zh-CN"/>
                    </w:rPr>
                  </w:pPr>
                  <w:r>
                    <w:rPr>
                      <w:highlight w:val="none"/>
                      <w:u w:val="none"/>
                      <w:lang w:eastAsia="zh-CN"/>
                    </w:rPr>
                    <w:t>夜:5</w:t>
                  </w:r>
                  <w:r>
                    <w:rPr>
                      <w:rFonts w:hint="eastAsia"/>
                      <w:highlight w:val="none"/>
                      <w:u w:val="none"/>
                      <w:lang w:eastAsia="zh-CN"/>
                    </w:rPr>
                    <w:t>5</w:t>
                  </w:r>
                </w:p>
              </w:tc>
              <w:tc>
                <w:tcPr>
                  <w:tcW w:w="364" w:type="pct"/>
                  <w:vAlign w:val="center"/>
                </w:tcPr>
                <w:p w14:paraId="393E798C">
                  <w:pPr>
                    <w:pStyle w:val="32"/>
                    <w:rPr>
                      <w:highlight w:val="none"/>
                      <w:u w:val="none"/>
                      <w:lang w:eastAsia="zh-CN"/>
                    </w:rPr>
                  </w:pPr>
                  <w:r>
                    <w:rPr>
                      <w:highlight w:val="none"/>
                      <w:u w:val="none"/>
                      <w:lang w:eastAsia="zh-CN"/>
                    </w:rPr>
                    <w:t>达标</w:t>
                  </w:r>
                </w:p>
              </w:tc>
            </w:tr>
            <w:tr w14:paraId="23C4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3" w:type="dxa"/>
                  <w:vAlign w:val="center"/>
                </w:tcPr>
                <w:p w14:paraId="224BB38A">
                  <w:pPr>
                    <w:pStyle w:val="32"/>
                    <w:rPr>
                      <w:highlight w:val="none"/>
                      <w:u w:val="none"/>
                      <w:lang w:eastAsia="zh-CN"/>
                    </w:rPr>
                  </w:pPr>
                  <w:r>
                    <w:rPr>
                      <w:rFonts w:hint="eastAsia" w:ascii="Times New Roman" w:hAnsi="Times New Roman" w:eastAsia="宋体" w:cs="Times New Roman"/>
                      <w:highlight w:val="none"/>
                      <w:u w:val="none"/>
                      <w:lang w:val="en-US" w:eastAsia="zh-CN"/>
                    </w:rPr>
                    <w:t>4#</w:t>
                  </w:r>
                </w:p>
              </w:tc>
              <w:tc>
                <w:tcPr>
                  <w:tcW w:w="1380" w:type="dxa"/>
                  <w:vAlign w:val="center"/>
                </w:tcPr>
                <w:p w14:paraId="047C0146">
                  <w:pPr>
                    <w:pStyle w:val="32"/>
                    <w:rPr>
                      <w:szCs w:val="10"/>
                      <w:highlight w:val="none"/>
                      <w:u w:val="none"/>
                      <w:lang w:eastAsia="zh-CN"/>
                    </w:rPr>
                  </w:pPr>
                  <w:r>
                    <w:rPr>
                      <w:rFonts w:hint="eastAsia" w:ascii="Times New Roman" w:hAnsi="Times New Roman" w:eastAsia="宋体" w:cs="Times New Roman"/>
                      <w:highlight w:val="none"/>
                      <w:u w:val="none"/>
                      <w:lang w:val="en-US" w:eastAsia="zh-CN"/>
                    </w:rPr>
                    <w:t>变电站南侧（沙场门口）</w:t>
                  </w:r>
                </w:p>
              </w:tc>
              <w:tc>
                <w:tcPr>
                  <w:tcW w:w="650" w:type="dxa"/>
                  <w:vAlign w:val="center"/>
                </w:tcPr>
                <w:p w14:paraId="048750DD">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41</w:t>
                  </w:r>
                </w:p>
              </w:tc>
              <w:tc>
                <w:tcPr>
                  <w:tcW w:w="601" w:type="dxa"/>
                  <w:vAlign w:val="center"/>
                </w:tcPr>
                <w:p w14:paraId="06FD72A3">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39</w:t>
                  </w:r>
                </w:p>
              </w:tc>
              <w:tc>
                <w:tcPr>
                  <w:tcW w:w="1366" w:type="dxa"/>
                  <w:vAlign w:val="center"/>
                </w:tcPr>
                <w:p w14:paraId="5C9BFFEA">
                  <w:pPr>
                    <w:pStyle w:val="32"/>
                    <w:rPr>
                      <w:highlight w:val="none"/>
                      <w:u w:val="none"/>
                      <w:lang w:eastAsia="zh-CN"/>
                    </w:rPr>
                  </w:pPr>
                  <w:r>
                    <w:rPr>
                      <w:rFonts w:hint="eastAsia" w:ascii="Times New Roman" w:hAnsi="Times New Roman" w:eastAsia="宋体" w:cs="Times New Roman"/>
                      <w:highlight w:val="none"/>
                      <w:u w:val="none"/>
                      <w:lang w:val="en-US" w:eastAsia="zh-CN"/>
                    </w:rPr>
                    <w:t>12.7~28.5</w:t>
                  </w:r>
                </w:p>
              </w:tc>
              <w:tc>
                <w:tcPr>
                  <w:tcW w:w="1333" w:type="dxa"/>
                  <w:vAlign w:val="center"/>
                </w:tcPr>
                <w:p w14:paraId="0800F183">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41.0~41.2</w:t>
                  </w:r>
                </w:p>
              </w:tc>
              <w:tc>
                <w:tcPr>
                  <w:tcW w:w="1240" w:type="dxa"/>
                  <w:vAlign w:val="center"/>
                </w:tcPr>
                <w:p w14:paraId="50C4A7B3">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39.0~39.4</w:t>
                  </w:r>
                </w:p>
              </w:tc>
              <w:tc>
                <w:tcPr>
                  <w:tcW w:w="496" w:type="pct"/>
                  <w:vAlign w:val="center"/>
                </w:tcPr>
                <w:p w14:paraId="0DC5A07D">
                  <w:pPr>
                    <w:pStyle w:val="32"/>
                    <w:rPr>
                      <w:highlight w:val="none"/>
                      <w:u w:val="none"/>
                      <w:lang w:eastAsia="zh-CN"/>
                    </w:rPr>
                  </w:pPr>
                  <w:r>
                    <w:rPr>
                      <w:highlight w:val="none"/>
                      <w:u w:val="none"/>
                      <w:lang w:eastAsia="zh-CN"/>
                    </w:rPr>
                    <w:t>昼:6</w:t>
                  </w:r>
                  <w:r>
                    <w:rPr>
                      <w:rFonts w:hint="eastAsia"/>
                      <w:highlight w:val="none"/>
                      <w:u w:val="none"/>
                      <w:lang w:eastAsia="zh-CN"/>
                    </w:rPr>
                    <w:t>5</w:t>
                  </w:r>
                </w:p>
                <w:p w14:paraId="1552361A">
                  <w:pPr>
                    <w:pStyle w:val="32"/>
                    <w:rPr>
                      <w:highlight w:val="none"/>
                      <w:u w:val="none"/>
                      <w:lang w:eastAsia="zh-CN"/>
                    </w:rPr>
                  </w:pPr>
                  <w:r>
                    <w:rPr>
                      <w:highlight w:val="none"/>
                      <w:u w:val="none"/>
                      <w:lang w:eastAsia="zh-CN"/>
                    </w:rPr>
                    <w:t>夜:5</w:t>
                  </w:r>
                  <w:r>
                    <w:rPr>
                      <w:rFonts w:hint="eastAsia"/>
                      <w:highlight w:val="none"/>
                      <w:u w:val="none"/>
                      <w:lang w:eastAsia="zh-CN"/>
                    </w:rPr>
                    <w:t>5</w:t>
                  </w:r>
                </w:p>
              </w:tc>
              <w:tc>
                <w:tcPr>
                  <w:tcW w:w="364" w:type="pct"/>
                  <w:vAlign w:val="center"/>
                </w:tcPr>
                <w:p w14:paraId="1310DB08">
                  <w:pPr>
                    <w:pStyle w:val="32"/>
                    <w:rPr>
                      <w:highlight w:val="none"/>
                      <w:u w:val="none"/>
                      <w:lang w:eastAsia="zh-CN"/>
                    </w:rPr>
                  </w:pPr>
                  <w:r>
                    <w:rPr>
                      <w:highlight w:val="none"/>
                      <w:u w:val="none"/>
                      <w:lang w:eastAsia="zh-CN"/>
                    </w:rPr>
                    <w:t>达标</w:t>
                  </w:r>
                </w:p>
              </w:tc>
            </w:tr>
            <w:tr w14:paraId="2C7E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3" w:type="dxa"/>
                  <w:vAlign w:val="center"/>
                </w:tcPr>
                <w:p w14:paraId="7E0F9B92">
                  <w:pPr>
                    <w:pStyle w:val="32"/>
                    <w:rPr>
                      <w:highlight w:val="none"/>
                      <w:u w:val="none"/>
                      <w:lang w:eastAsia="zh-CN"/>
                    </w:rPr>
                  </w:pPr>
                  <w:r>
                    <w:rPr>
                      <w:rFonts w:hint="eastAsia" w:cs="Times New Roman"/>
                      <w:highlight w:val="none"/>
                      <w:u w:val="none"/>
                      <w:lang w:val="en-US" w:eastAsia="zh-CN"/>
                    </w:rPr>
                    <w:t>5</w:t>
                  </w:r>
                  <w:r>
                    <w:rPr>
                      <w:rFonts w:hint="eastAsia" w:ascii="Times New Roman" w:hAnsi="Times New Roman" w:eastAsia="宋体" w:cs="Times New Roman"/>
                      <w:highlight w:val="none"/>
                      <w:u w:val="none"/>
                      <w:lang w:val="en-US" w:eastAsia="zh-CN"/>
                    </w:rPr>
                    <w:t>#</w:t>
                  </w:r>
                </w:p>
              </w:tc>
              <w:tc>
                <w:tcPr>
                  <w:tcW w:w="1380" w:type="dxa"/>
                  <w:vAlign w:val="center"/>
                </w:tcPr>
                <w:p w14:paraId="49674D4B">
                  <w:pPr>
                    <w:pStyle w:val="32"/>
                    <w:rPr>
                      <w:szCs w:val="10"/>
                      <w:highlight w:val="none"/>
                      <w:u w:val="none"/>
                      <w:lang w:eastAsia="zh-CN"/>
                    </w:rPr>
                  </w:pPr>
                  <w:r>
                    <w:rPr>
                      <w:rFonts w:hint="eastAsia" w:ascii="Times New Roman" w:hAnsi="Times New Roman" w:eastAsia="宋体" w:cs="Times New Roman"/>
                      <w:highlight w:val="none"/>
                      <w:u w:val="none"/>
                      <w:lang w:val="en-US" w:eastAsia="zh-CN"/>
                    </w:rPr>
                    <w:t>广西诚达工程质量检测公司办公楼</w:t>
                  </w:r>
                </w:p>
              </w:tc>
              <w:tc>
                <w:tcPr>
                  <w:tcW w:w="650" w:type="dxa"/>
                  <w:vAlign w:val="center"/>
                </w:tcPr>
                <w:p w14:paraId="235194FC">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42</w:t>
                  </w:r>
                </w:p>
              </w:tc>
              <w:tc>
                <w:tcPr>
                  <w:tcW w:w="601" w:type="dxa"/>
                  <w:vAlign w:val="center"/>
                </w:tcPr>
                <w:p w14:paraId="53D6BD21">
                  <w:pPr>
                    <w:pStyle w:val="32"/>
                    <w:rPr>
                      <w:rFonts w:cs="Arial"/>
                      <w:szCs w:val="21"/>
                      <w:highlight w:val="none"/>
                      <w:u w:val="none"/>
                      <w:lang w:eastAsia="zh-CN"/>
                    </w:rPr>
                  </w:pPr>
                  <w:r>
                    <w:rPr>
                      <w:rFonts w:hint="eastAsia" w:ascii="Times New Roman" w:hAnsi="Times New Roman" w:eastAsia="宋体" w:cs="Times New Roman"/>
                      <w:highlight w:val="none"/>
                      <w:u w:val="none"/>
                      <w:lang w:val="en-US" w:eastAsia="zh-CN"/>
                    </w:rPr>
                    <w:t>38</w:t>
                  </w:r>
                </w:p>
              </w:tc>
              <w:tc>
                <w:tcPr>
                  <w:tcW w:w="1366" w:type="dxa"/>
                  <w:vAlign w:val="center"/>
                </w:tcPr>
                <w:p w14:paraId="49FB2191">
                  <w:pPr>
                    <w:pStyle w:val="32"/>
                    <w:rPr>
                      <w:rFonts w:hint="default"/>
                      <w:highlight w:val="none"/>
                      <w:u w:val="none"/>
                      <w:lang w:val="en-US" w:eastAsia="zh-CN"/>
                    </w:rPr>
                  </w:pPr>
                  <w:r>
                    <w:rPr>
                      <w:rFonts w:hint="eastAsia" w:ascii="Times New Roman" w:hAnsi="Times New Roman" w:eastAsia="宋体" w:cs="Times New Roman"/>
                      <w:highlight w:val="none"/>
                      <w:u w:val="none"/>
                      <w:lang w:val="en-US" w:eastAsia="zh-CN"/>
                    </w:rPr>
                    <w:t>18.3</w:t>
                  </w:r>
                </w:p>
              </w:tc>
              <w:tc>
                <w:tcPr>
                  <w:tcW w:w="1333" w:type="dxa"/>
                  <w:vAlign w:val="center"/>
                </w:tcPr>
                <w:p w14:paraId="285BBBF0">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42.0</w:t>
                  </w:r>
                </w:p>
              </w:tc>
              <w:tc>
                <w:tcPr>
                  <w:tcW w:w="1240" w:type="dxa"/>
                  <w:vAlign w:val="center"/>
                </w:tcPr>
                <w:p w14:paraId="786DEE9F">
                  <w:pPr>
                    <w:pStyle w:val="32"/>
                    <w:rPr>
                      <w:rFonts w:hint="default"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38.0</w:t>
                  </w:r>
                </w:p>
              </w:tc>
              <w:tc>
                <w:tcPr>
                  <w:tcW w:w="496" w:type="pct"/>
                  <w:vAlign w:val="center"/>
                </w:tcPr>
                <w:p w14:paraId="2E81B168">
                  <w:pPr>
                    <w:pStyle w:val="32"/>
                    <w:rPr>
                      <w:highlight w:val="none"/>
                      <w:u w:val="none"/>
                      <w:lang w:eastAsia="zh-CN"/>
                    </w:rPr>
                  </w:pPr>
                  <w:r>
                    <w:rPr>
                      <w:highlight w:val="none"/>
                      <w:u w:val="none"/>
                      <w:lang w:eastAsia="zh-CN"/>
                    </w:rPr>
                    <w:t>昼:6</w:t>
                  </w:r>
                  <w:r>
                    <w:rPr>
                      <w:rFonts w:hint="eastAsia"/>
                      <w:highlight w:val="none"/>
                      <w:u w:val="none"/>
                      <w:lang w:eastAsia="zh-CN"/>
                    </w:rPr>
                    <w:t>5</w:t>
                  </w:r>
                </w:p>
                <w:p w14:paraId="26D2BDF8">
                  <w:pPr>
                    <w:pStyle w:val="32"/>
                    <w:rPr>
                      <w:highlight w:val="none"/>
                      <w:u w:val="none"/>
                      <w:lang w:eastAsia="zh-CN"/>
                    </w:rPr>
                  </w:pPr>
                  <w:r>
                    <w:rPr>
                      <w:highlight w:val="none"/>
                      <w:u w:val="none"/>
                      <w:lang w:eastAsia="zh-CN"/>
                    </w:rPr>
                    <w:t>夜:5</w:t>
                  </w:r>
                  <w:r>
                    <w:rPr>
                      <w:rFonts w:hint="eastAsia"/>
                      <w:highlight w:val="none"/>
                      <w:u w:val="none"/>
                      <w:lang w:eastAsia="zh-CN"/>
                    </w:rPr>
                    <w:t>5</w:t>
                  </w:r>
                </w:p>
              </w:tc>
              <w:tc>
                <w:tcPr>
                  <w:tcW w:w="364" w:type="pct"/>
                  <w:vAlign w:val="center"/>
                </w:tcPr>
                <w:p w14:paraId="7FB468C9">
                  <w:pPr>
                    <w:pStyle w:val="32"/>
                    <w:rPr>
                      <w:highlight w:val="none"/>
                      <w:u w:val="none"/>
                      <w:lang w:eastAsia="zh-CN"/>
                    </w:rPr>
                  </w:pPr>
                  <w:r>
                    <w:rPr>
                      <w:highlight w:val="none"/>
                      <w:u w:val="none"/>
                      <w:lang w:eastAsia="zh-CN"/>
                    </w:rPr>
                    <w:t>达标</w:t>
                  </w:r>
                </w:p>
              </w:tc>
            </w:tr>
            <w:bookmarkEnd w:id="58"/>
            <w:bookmarkEnd w:id="59"/>
          </w:tbl>
          <w:p w14:paraId="09EB29D4">
            <w:pPr>
              <w:autoSpaceDE w:val="0"/>
              <w:autoSpaceDN w:val="0"/>
              <w:adjustRightInd w:val="0"/>
              <w:snapToGrid w:val="0"/>
              <w:ind w:firstLine="420" w:firstLineChars="200"/>
              <w:rPr>
                <w:rFonts w:hint="default" w:eastAsia="宋体"/>
                <w:sz w:val="21"/>
                <w:szCs w:val="21"/>
                <w:highlight w:val="none"/>
                <w:u w:val="none"/>
                <w:lang w:val="en-US" w:eastAsia="zh-CN"/>
              </w:rPr>
            </w:pPr>
            <w:r>
              <w:rPr>
                <w:rFonts w:hint="eastAsia"/>
                <w:sz w:val="21"/>
                <w:szCs w:val="21"/>
                <w:highlight w:val="none"/>
                <w:u w:val="none"/>
                <w:lang w:val="en-US" w:eastAsia="zh-CN"/>
              </w:rPr>
              <w:t>注：经预测220kV果山站厂界西侧、北侧噪声贡献值浮动较小，故预测值较环境现状值未发生明显变化。</w:t>
            </w:r>
          </w:p>
          <w:p w14:paraId="5AD99443">
            <w:pPr>
              <w:autoSpaceDE w:val="0"/>
              <w:autoSpaceDN w:val="0"/>
              <w:adjustRightInd w:val="0"/>
              <w:snapToGrid w:val="0"/>
              <w:ind w:firstLine="480" w:firstLineChars="200"/>
              <w:rPr>
                <w:rFonts w:hint="eastAsia" w:eastAsia="宋体"/>
                <w:highlight w:val="none"/>
                <w:u w:val="none"/>
                <w:lang w:val="en-US" w:eastAsia="zh-CN"/>
              </w:rPr>
            </w:pPr>
            <w:r>
              <w:rPr>
                <w:rFonts w:hint="eastAsia"/>
                <w:highlight w:val="none"/>
                <w:u w:val="none"/>
              </w:rPr>
              <w:t>22</w:t>
            </w:r>
            <w:r>
              <w:rPr>
                <w:highlight w:val="none"/>
                <w:u w:val="none"/>
              </w:rPr>
              <w:t>0kV</w:t>
            </w:r>
            <w:r>
              <w:rPr>
                <w:rFonts w:hint="eastAsia"/>
                <w:highlight w:val="none"/>
                <w:u w:val="none"/>
                <w:lang w:val="en-US" w:eastAsia="zh-CN"/>
              </w:rPr>
              <w:t>果山</w:t>
            </w:r>
            <w:r>
              <w:rPr>
                <w:highlight w:val="none"/>
                <w:u w:val="none"/>
              </w:rPr>
              <w:t>变电站</w:t>
            </w:r>
            <w:r>
              <w:rPr>
                <w:rFonts w:hint="eastAsia"/>
                <w:highlight w:val="none"/>
                <w:u w:val="none"/>
              </w:rPr>
              <w:t>厂界</w:t>
            </w:r>
            <w:r>
              <w:rPr>
                <w:highlight w:val="none"/>
                <w:u w:val="none"/>
              </w:rPr>
              <w:t>昼间噪声</w:t>
            </w:r>
            <w:r>
              <w:rPr>
                <w:rFonts w:hint="eastAsia"/>
                <w:highlight w:val="none"/>
                <w:u w:val="none"/>
              </w:rPr>
              <w:t>预测</w:t>
            </w:r>
            <w:r>
              <w:rPr>
                <w:highlight w:val="none"/>
                <w:u w:val="none"/>
              </w:rPr>
              <w:t>值为</w:t>
            </w:r>
            <w:r>
              <w:rPr>
                <w:rFonts w:hint="eastAsia"/>
                <w:highlight w:val="none"/>
                <w:u w:val="none"/>
                <w:lang w:val="en-US" w:eastAsia="zh-CN"/>
              </w:rPr>
              <w:t>41.0</w:t>
            </w:r>
            <w:r>
              <w:rPr>
                <w:highlight w:val="none"/>
                <w:u w:val="none"/>
              </w:rPr>
              <w:t>～</w:t>
            </w:r>
            <w:r>
              <w:rPr>
                <w:rFonts w:hint="eastAsia"/>
                <w:highlight w:val="none"/>
                <w:u w:val="none"/>
                <w:lang w:val="en-US" w:eastAsia="zh-CN"/>
              </w:rPr>
              <w:t>46.0</w:t>
            </w:r>
            <w:r>
              <w:rPr>
                <w:highlight w:val="none"/>
                <w:u w:val="none"/>
              </w:rPr>
              <w:t>dB（A），夜间为</w:t>
            </w:r>
            <w:r>
              <w:rPr>
                <w:rFonts w:hint="eastAsia"/>
                <w:highlight w:val="none"/>
                <w:u w:val="none"/>
                <w:lang w:val="en-US" w:eastAsia="zh-CN"/>
              </w:rPr>
              <w:t>39.0</w:t>
            </w:r>
            <w:r>
              <w:rPr>
                <w:highlight w:val="none"/>
                <w:u w:val="none"/>
              </w:rPr>
              <w:t>～</w:t>
            </w:r>
            <w:r>
              <w:rPr>
                <w:rFonts w:hint="eastAsia"/>
                <w:highlight w:val="none"/>
                <w:u w:val="none"/>
                <w:lang w:val="en-US" w:eastAsia="zh-CN"/>
              </w:rPr>
              <w:t>43.0</w:t>
            </w:r>
            <w:r>
              <w:rPr>
                <w:highlight w:val="none"/>
                <w:u w:val="none"/>
              </w:rPr>
              <w:t>dB（A）之间，满足《工业企业厂界环境噪声排放标准》（GB12348－2008）中的</w:t>
            </w:r>
            <w:r>
              <w:rPr>
                <w:rFonts w:hint="eastAsia"/>
                <w:highlight w:val="none"/>
                <w:u w:val="none"/>
              </w:rPr>
              <w:t>3</w:t>
            </w:r>
            <w:r>
              <w:rPr>
                <w:highlight w:val="none"/>
                <w:u w:val="none"/>
              </w:rPr>
              <w:t>类标准要求。</w:t>
            </w:r>
            <w:r>
              <w:rPr>
                <w:rFonts w:hint="eastAsia"/>
                <w:highlight w:val="none"/>
                <w:u w:val="none"/>
                <w:lang w:val="en-US" w:eastAsia="zh-CN"/>
              </w:rPr>
              <w:t>声环境保护目标处</w:t>
            </w:r>
            <w:r>
              <w:rPr>
                <w:highlight w:val="none"/>
                <w:u w:val="none"/>
              </w:rPr>
              <w:t>昼间噪声</w:t>
            </w:r>
            <w:r>
              <w:rPr>
                <w:rFonts w:hint="eastAsia"/>
                <w:highlight w:val="none"/>
                <w:u w:val="none"/>
              </w:rPr>
              <w:t>预测</w:t>
            </w:r>
            <w:r>
              <w:rPr>
                <w:highlight w:val="none"/>
                <w:u w:val="none"/>
              </w:rPr>
              <w:t>值为</w:t>
            </w:r>
            <w:r>
              <w:rPr>
                <w:rFonts w:hint="eastAsia"/>
                <w:highlight w:val="none"/>
                <w:u w:val="none"/>
                <w:lang w:val="en-US" w:eastAsia="zh-CN"/>
              </w:rPr>
              <w:t>42.0</w:t>
            </w:r>
            <w:r>
              <w:rPr>
                <w:highlight w:val="none"/>
                <w:u w:val="none"/>
              </w:rPr>
              <w:t>，夜间为</w:t>
            </w:r>
            <w:r>
              <w:rPr>
                <w:rFonts w:hint="eastAsia"/>
                <w:highlight w:val="none"/>
                <w:u w:val="none"/>
                <w:lang w:val="en-US" w:eastAsia="zh-CN"/>
              </w:rPr>
              <w:t>38.0</w:t>
            </w:r>
            <w:r>
              <w:rPr>
                <w:highlight w:val="none"/>
                <w:u w:val="none"/>
              </w:rPr>
              <w:t>dB（A）满足《声环境质量标准》（GB3096－2008）中的</w:t>
            </w:r>
            <w:r>
              <w:rPr>
                <w:rFonts w:hint="eastAsia"/>
                <w:highlight w:val="none"/>
                <w:u w:val="none"/>
              </w:rPr>
              <w:t>3</w:t>
            </w:r>
            <w:r>
              <w:rPr>
                <w:highlight w:val="none"/>
                <w:u w:val="none"/>
              </w:rPr>
              <w:t>类标准要求</w:t>
            </w:r>
            <w:r>
              <w:rPr>
                <w:rFonts w:hint="eastAsia"/>
                <w:highlight w:val="none"/>
                <w:u w:val="none"/>
                <w:lang w:eastAsia="zh-CN"/>
              </w:rPr>
              <w:t>。</w:t>
            </w:r>
          </w:p>
          <w:p w14:paraId="04661949">
            <w:pPr>
              <w:ind w:firstLine="480"/>
              <w:rPr>
                <w:u w:val="none"/>
              </w:rPr>
            </w:pPr>
            <w:r>
              <w:rPr>
                <w:szCs w:val="21"/>
                <w:u w:val="none"/>
              </w:rPr>
              <w:t>可见</w:t>
            </w:r>
            <w:r>
              <w:rPr>
                <w:rFonts w:hint="eastAsia"/>
                <w:szCs w:val="21"/>
                <w:u w:val="none"/>
              </w:rPr>
              <w:t>扩建后22</w:t>
            </w:r>
            <w:r>
              <w:rPr>
                <w:szCs w:val="21"/>
                <w:u w:val="none"/>
              </w:rPr>
              <w:t>0kV</w:t>
            </w:r>
            <w:r>
              <w:rPr>
                <w:rFonts w:hint="eastAsia"/>
                <w:szCs w:val="21"/>
                <w:u w:val="none"/>
                <w:lang w:val="en-US" w:eastAsia="zh-CN"/>
              </w:rPr>
              <w:t>果山</w:t>
            </w:r>
            <w:r>
              <w:rPr>
                <w:szCs w:val="21"/>
                <w:u w:val="none"/>
              </w:rPr>
              <w:t>变电站运行对周围</w:t>
            </w:r>
            <w:r>
              <w:rPr>
                <w:u w:val="none"/>
              </w:rPr>
              <w:t>环境的声环境影响较小。</w:t>
            </w:r>
          </w:p>
          <w:p w14:paraId="5A9B40EE">
            <w:pPr>
              <w:autoSpaceDE w:val="0"/>
              <w:autoSpaceDN w:val="0"/>
              <w:adjustRightInd w:val="0"/>
              <w:snapToGrid w:val="0"/>
              <w:rPr>
                <w:b/>
                <w:kern w:val="0"/>
                <w:u w:val="none"/>
              </w:rPr>
            </w:pPr>
            <w:r>
              <w:rPr>
                <w:b/>
                <w:kern w:val="0"/>
                <w:u w:val="none"/>
              </w:rPr>
              <w:t>4.</w:t>
            </w:r>
            <w:r>
              <w:rPr>
                <w:rFonts w:hint="eastAsia"/>
                <w:b/>
                <w:kern w:val="0"/>
                <w:u w:val="none"/>
              </w:rPr>
              <w:t>8</w:t>
            </w:r>
            <w:r>
              <w:rPr>
                <w:b/>
                <w:kern w:val="0"/>
                <w:u w:val="none"/>
              </w:rPr>
              <w:t>电磁环境影响分析</w:t>
            </w:r>
          </w:p>
          <w:p w14:paraId="0E2FB7F5">
            <w:pPr>
              <w:adjustRightInd w:val="0"/>
              <w:snapToGrid w:val="0"/>
              <w:ind w:firstLine="480" w:firstLineChars="200"/>
              <w:rPr>
                <w:bCs/>
                <w:u w:val="none"/>
              </w:rPr>
            </w:pPr>
            <w:r>
              <w:rPr>
                <w:bCs/>
                <w:u w:val="none"/>
              </w:rPr>
              <w:t>通过类比预测，</w:t>
            </w:r>
            <w:r>
              <w:rPr>
                <w:u w:val="none"/>
              </w:rPr>
              <w:t>本项目</w:t>
            </w:r>
            <w:r>
              <w:rPr>
                <w:rFonts w:hint="eastAsia"/>
                <w:u w:val="none"/>
              </w:rPr>
              <w:t>220kV</w:t>
            </w:r>
            <w:r>
              <w:rPr>
                <w:rFonts w:hint="eastAsia"/>
                <w:u w:val="none"/>
                <w:lang w:val="en-US" w:eastAsia="zh-CN"/>
              </w:rPr>
              <w:t>果山</w:t>
            </w:r>
            <w:r>
              <w:rPr>
                <w:u w:val="none"/>
              </w:rPr>
              <w:t>变电站进入运行期后，围墙四周</w:t>
            </w:r>
            <w:r>
              <w:rPr>
                <w:bCs/>
                <w:u w:val="none"/>
              </w:rPr>
              <w:t>工频电场、工频磁场的影响分别满足《</w:t>
            </w:r>
            <w:r>
              <w:rPr>
                <w:rFonts w:hint="eastAsia"/>
                <w:bCs/>
                <w:u w:val="none"/>
              </w:rPr>
              <w:t>电磁环境控制限值</w:t>
            </w:r>
            <w:r>
              <w:rPr>
                <w:bCs/>
                <w:u w:val="none"/>
              </w:rPr>
              <w:t>》（GB8702-2014）规定的4000</w:t>
            </w:r>
            <w:r>
              <w:rPr>
                <w:rFonts w:hint="eastAsia"/>
                <w:bCs/>
                <w:u w:val="none"/>
              </w:rPr>
              <w:t>V</w:t>
            </w:r>
            <w:r>
              <w:rPr>
                <w:bCs/>
                <w:u w:val="none"/>
              </w:rPr>
              <w:t>/m和100μT的公众</w:t>
            </w:r>
            <w:r>
              <w:rPr>
                <w:rFonts w:hint="eastAsia"/>
                <w:bCs/>
                <w:u w:val="none"/>
              </w:rPr>
              <w:t>曝</w:t>
            </w:r>
            <w:r>
              <w:rPr>
                <w:bCs/>
                <w:u w:val="none"/>
              </w:rPr>
              <w:t>露</w:t>
            </w:r>
            <w:r>
              <w:rPr>
                <w:rFonts w:hint="eastAsia"/>
                <w:bCs/>
                <w:u w:val="none"/>
              </w:rPr>
              <w:t>控制</w:t>
            </w:r>
            <w:r>
              <w:rPr>
                <w:bCs/>
                <w:u w:val="none"/>
              </w:rPr>
              <w:t>限</w:t>
            </w:r>
            <w:r>
              <w:rPr>
                <w:rFonts w:hint="eastAsia"/>
                <w:bCs/>
                <w:u w:val="none"/>
              </w:rPr>
              <w:t>值</w:t>
            </w:r>
            <w:r>
              <w:rPr>
                <w:bCs/>
                <w:u w:val="none"/>
              </w:rPr>
              <w:t>要求。</w:t>
            </w:r>
          </w:p>
          <w:p w14:paraId="0565282C">
            <w:pPr>
              <w:adjustRightInd w:val="0"/>
              <w:snapToGrid w:val="0"/>
              <w:ind w:firstLine="480" w:firstLineChars="200"/>
              <w:rPr>
                <w:bCs/>
                <w:u w:val="none"/>
              </w:rPr>
            </w:pPr>
            <w:r>
              <w:rPr>
                <w:bCs/>
                <w:u w:val="none"/>
              </w:rPr>
              <w:t>电磁环境影响分析详见《电磁环境影响分析专项评价》。</w:t>
            </w:r>
          </w:p>
          <w:p w14:paraId="07371AD6">
            <w:pPr>
              <w:adjustRightInd w:val="0"/>
              <w:snapToGrid w:val="0"/>
              <w:rPr>
                <w:b/>
                <w:kern w:val="0"/>
                <w:u w:val="none"/>
              </w:rPr>
            </w:pPr>
            <w:r>
              <w:rPr>
                <w:b/>
                <w:kern w:val="0"/>
                <w:u w:val="none"/>
              </w:rPr>
              <w:t>4.</w:t>
            </w:r>
            <w:r>
              <w:rPr>
                <w:rFonts w:hint="eastAsia"/>
                <w:b/>
                <w:kern w:val="0"/>
                <w:u w:val="none"/>
              </w:rPr>
              <w:t>9</w:t>
            </w:r>
            <w:r>
              <w:rPr>
                <w:b/>
                <w:kern w:val="0"/>
                <w:u w:val="none"/>
              </w:rPr>
              <w:t>固体废物影响分析</w:t>
            </w:r>
          </w:p>
          <w:p w14:paraId="4A7C61BE">
            <w:pPr>
              <w:adjustRightInd w:val="0"/>
              <w:snapToGrid w:val="0"/>
              <w:ind w:firstLine="480" w:firstLineChars="200"/>
              <w:rPr>
                <w:u w:val="none"/>
              </w:rPr>
            </w:pPr>
            <w:r>
              <w:rPr>
                <w:u w:val="none"/>
              </w:rPr>
              <w:t>本期工程</w:t>
            </w:r>
            <w:r>
              <w:rPr>
                <w:rFonts w:hint="eastAsia"/>
                <w:u w:val="none"/>
                <w:lang w:val="en-US" w:eastAsia="zh-CN"/>
              </w:rPr>
              <w:t>正常</w:t>
            </w:r>
            <w:r>
              <w:rPr>
                <w:u w:val="none"/>
              </w:rPr>
              <w:t>运行</w:t>
            </w:r>
            <w:r>
              <w:rPr>
                <w:rFonts w:hint="eastAsia"/>
                <w:u w:val="none"/>
                <w:lang w:val="en-US" w:eastAsia="zh-CN"/>
              </w:rPr>
              <w:t>时</w:t>
            </w:r>
            <w:r>
              <w:rPr>
                <w:u w:val="none"/>
              </w:rPr>
              <w:t>仅有少量生活垃圾。生活垃圾经收集后由环卫部门统一处理，不会对周围环境产生不利影响。</w:t>
            </w:r>
            <w:r>
              <w:rPr>
                <w:rFonts w:hint="eastAsia"/>
                <w:u w:val="none"/>
              </w:rPr>
              <w:t>本期无新增运维人员，</w:t>
            </w:r>
            <w:r>
              <w:rPr>
                <w:rFonts w:hint="eastAsia"/>
                <w:u w:val="none"/>
                <w:lang w:val="en-US" w:eastAsia="zh-CN"/>
              </w:rPr>
              <w:t>不新增生活垃圾</w:t>
            </w:r>
            <w:r>
              <w:rPr>
                <w:rFonts w:hint="eastAsia"/>
                <w:u w:val="none"/>
              </w:rPr>
              <w:t>。</w:t>
            </w:r>
          </w:p>
          <w:p w14:paraId="6260CE1E">
            <w:pPr>
              <w:adjustRightInd w:val="0"/>
              <w:snapToGrid w:val="0"/>
              <w:ind w:firstLine="480" w:firstLineChars="200"/>
              <w:rPr>
                <w:u w:val="none"/>
              </w:rPr>
            </w:pPr>
            <w:r>
              <w:rPr>
                <w:rFonts w:hint="eastAsia"/>
                <w:bCs/>
                <w:szCs w:val="21"/>
                <w:u w:val="none"/>
              </w:rPr>
              <w:t>当变压器事故漏油及检修时，会产生少量废变压器油，属于危险废物，在主变压器下设有事故油池坑并铺设卵石层，事故油池坑与总事故油池相连，收集事故情况下主变泄露</w:t>
            </w:r>
            <w:r>
              <w:rPr>
                <w:rFonts w:hint="eastAsia"/>
                <w:bCs/>
                <w:szCs w:val="21"/>
                <w:u w:val="none"/>
                <w:lang w:eastAsia="zh-CN"/>
              </w:rPr>
              <w:t>的</w:t>
            </w:r>
            <w:r>
              <w:rPr>
                <w:rFonts w:hint="eastAsia"/>
                <w:bCs/>
                <w:szCs w:val="21"/>
                <w:u w:val="none"/>
              </w:rPr>
              <w:t>事故油，可以满足变压器绝缘油在事故情况下泄漏时不外溢至外环境。</w:t>
            </w:r>
            <w:r>
              <w:rPr>
                <w:rFonts w:hint="eastAsia"/>
                <w:bCs/>
                <w:szCs w:val="21"/>
                <w:u w:val="none"/>
                <w:lang w:val="en-US" w:eastAsia="zh-CN"/>
              </w:rPr>
              <w:t>本工程新建</w:t>
            </w:r>
            <w:r>
              <w:rPr>
                <w:rFonts w:hint="eastAsia"/>
                <w:bCs/>
                <w:szCs w:val="21"/>
                <w:u w:val="none"/>
              </w:rPr>
              <w:t>#2主变排油时，首先排至主变油坑，再通过改建DN400事故排油干管系统排至前期已建事故油池</w:t>
            </w:r>
            <w:r>
              <w:rPr>
                <w:rFonts w:hint="eastAsia"/>
                <w:bCs/>
                <w:szCs w:val="21"/>
                <w:u w:val="none"/>
                <w:lang w:eastAsia="zh-CN"/>
              </w:rPr>
              <w:t>（</w:t>
            </w:r>
            <w:r>
              <w:rPr>
                <w:rFonts w:hint="eastAsia"/>
                <w:bCs/>
                <w:szCs w:val="21"/>
                <w:u w:val="none"/>
                <w:lang w:val="en-US" w:eastAsia="zh-CN"/>
              </w:rPr>
              <w:t>65m</w:t>
            </w:r>
            <w:r>
              <w:rPr>
                <w:rFonts w:hint="eastAsia"/>
                <w:bCs/>
                <w:szCs w:val="21"/>
                <w:u w:val="none"/>
                <w:vertAlign w:val="superscript"/>
                <w:lang w:val="en-US" w:eastAsia="zh-CN"/>
              </w:rPr>
              <w:t>3</w:t>
            </w:r>
            <w:r>
              <w:rPr>
                <w:rFonts w:hint="eastAsia"/>
                <w:bCs/>
                <w:szCs w:val="21"/>
                <w:u w:val="none"/>
                <w:lang w:eastAsia="zh-CN"/>
              </w:rPr>
              <w:t>）</w:t>
            </w:r>
            <w:r>
              <w:rPr>
                <w:rFonts w:hint="eastAsia"/>
                <w:bCs/>
                <w:szCs w:val="21"/>
                <w:u w:val="none"/>
              </w:rPr>
              <w:t>储存。最终送至有危废处理资质单位处理。</w:t>
            </w:r>
          </w:p>
          <w:p w14:paraId="6F783852">
            <w:pPr>
              <w:autoSpaceDE w:val="0"/>
              <w:autoSpaceDN w:val="0"/>
              <w:adjustRightInd w:val="0"/>
              <w:snapToGrid w:val="0"/>
              <w:ind w:firstLine="480" w:firstLineChars="200"/>
              <w:rPr>
                <w:u w:val="none"/>
              </w:rPr>
            </w:pPr>
            <w:r>
              <w:rPr>
                <w:u w:val="none"/>
              </w:rPr>
              <w:t>变电站</w:t>
            </w:r>
            <w:r>
              <w:rPr>
                <w:rFonts w:hint="eastAsia"/>
                <w:u w:val="none"/>
              </w:rPr>
              <w:t>运行期更换</w:t>
            </w:r>
            <w:r>
              <w:rPr>
                <w:u w:val="none"/>
              </w:rPr>
              <w:t>产生的废蓄电池，属危险废物，废物类别为HW31，废物代码为900-052-31，应交由有相应危险废物处理资质的单位进行处置，不得随意丢弃。</w:t>
            </w:r>
          </w:p>
          <w:p w14:paraId="66BB2603">
            <w:pPr>
              <w:adjustRightInd w:val="0"/>
              <w:snapToGrid w:val="0"/>
              <w:jc w:val="left"/>
              <w:rPr>
                <w:rFonts w:hint="eastAsia" w:eastAsia="宋体"/>
                <w:b/>
                <w:kern w:val="0"/>
                <w:u w:val="none"/>
                <w:lang w:val="en-US" w:eastAsia="zh-CN"/>
              </w:rPr>
            </w:pPr>
            <w:r>
              <w:rPr>
                <w:rFonts w:hint="eastAsia"/>
                <w:b/>
                <w:kern w:val="0"/>
                <w:u w:val="none"/>
                <w:lang w:val="en-US" w:eastAsia="zh-CN"/>
              </w:rPr>
              <w:t>4.10</w:t>
            </w:r>
            <w:r>
              <w:rPr>
                <w:rFonts w:hint="eastAsia"/>
                <w:b/>
                <w:kern w:val="0"/>
                <w:u w:val="none"/>
              </w:rPr>
              <w:t>风险潜势</w:t>
            </w:r>
            <w:r>
              <w:rPr>
                <w:rFonts w:hint="eastAsia"/>
                <w:b/>
                <w:kern w:val="0"/>
                <w:u w:val="none"/>
                <w:lang w:val="en-US" w:eastAsia="zh-CN"/>
              </w:rPr>
              <w:t>分析</w:t>
            </w:r>
          </w:p>
          <w:p w14:paraId="6F51AD9A">
            <w:pPr>
              <w:adjustRightInd w:val="0"/>
              <w:snapToGrid w:val="0"/>
              <w:ind w:firstLine="480" w:firstLineChars="200"/>
              <w:rPr>
                <w:rFonts w:hint="eastAsia"/>
                <w:bCs/>
                <w:szCs w:val="21"/>
                <w:u w:val="none"/>
              </w:rPr>
            </w:pPr>
            <w:r>
              <w:rPr>
                <w:rFonts w:hint="eastAsia"/>
                <w:bCs/>
                <w:szCs w:val="21"/>
                <w:u w:val="none"/>
              </w:rPr>
              <w:t>220kV果山</w:t>
            </w:r>
            <w:r>
              <w:rPr>
                <w:rFonts w:hint="eastAsia"/>
                <w:bCs/>
                <w:szCs w:val="21"/>
                <w:u w:val="none"/>
                <w:lang w:val="en-US" w:eastAsia="zh-CN"/>
              </w:rPr>
              <w:t>站站内</w:t>
            </w:r>
            <w:r>
              <w:rPr>
                <w:rFonts w:hint="eastAsia"/>
                <w:bCs/>
                <w:szCs w:val="21"/>
                <w:u w:val="none"/>
              </w:rPr>
              <w:t>主变压器等设备含有用于冷却的油，其数量远小于临界量2500吨，Q小于1，风险潜势为IV</w:t>
            </w:r>
            <w:r>
              <w:rPr>
                <w:rFonts w:hint="eastAsia"/>
                <w:bCs/>
                <w:szCs w:val="21"/>
                <w:u w:val="none"/>
                <w:vertAlign w:val="superscript"/>
              </w:rPr>
              <w:t>+</w:t>
            </w:r>
            <w:r>
              <w:rPr>
                <w:rFonts w:hint="eastAsia"/>
                <w:bCs/>
                <w:szCs w:val="21"/>
                <w:u w:val="none"/>
              </w:rPr>
              <w:t>。因此，按照《建设项目环境风险评价技术导则》（HJ169-2018）及《环境影响评价技术导则 输变电》（HJ24-2020）规定，对变压器、电抗器等事故情况下漏油时可能的环境影响风险进行简单分析，主要分析事故油坑、事故油池设置要求。根据环境影响风险进行简单分析，提出环境风险防范措施和突发环境事件应急预案。</w:t>
            </w:r>
          </w:p>
          <w:p w14:paraId="5EBD33A5">
            <w:pPr>
              <w:adjustRightInd w:val="0"/>
              <w:snapToGrid w:val="0"/>
              <w:jc w:val="left"/>
              <w:rPr>
                <w:b/>
                <w:kern w:val="0"/>
                <w:u w:val="none"/>
              </w:rPr>
            </w:pPr>
            <w:r>
              <w:rPr>
                <w:b/>
                <w:kern w:val="0"/>
                <w:u w:val="none"/>
              </w:rPr>
              <w:t>4</w:t>
            </w:r>
            <w:r>
              <w:rPr>
                <w:rFonts w:hint="eastAsia"/>
                <w:b/>
                <w:kern w:val="0"/>
                <w:u w:val="none"/>
              </w:rPr>
              <w:t>.1</w:t>
            </w:r>
            <w:r>
              <w:rPr>
                <w:rFonts w:hint="eastAsia"/>
                <w:b/>
                <w:kern w:val="0"/>
                <w:u w:val="none"/>
                <w:lang w:val="en-US" w:eastAsia="zh-CN"/>
              </w:rPr>
              <w:t>1</w:t>
            </w:r>
            <w:r>
              <w:rPr>
                <w:b/>
                <w:kern w:val="0"/>
                <w:u w:val="none"/>
              </w:rPr>
              <w:t>环境风险分析</w:t>
            </w:r>
          </w:p>
          <w:p w14:paraId="6AFEBB44">
            <w:pPr>
              <w:adjustRightInd w:val="0"/>
              <w:snapToGrid w:val="0"/>
              <w:ind w:firstLine="480" w:firstLineChars="200"/>
              <w:rPr>
                <w:bCs/>
                <w:szCs w:val="21"/>
                <w:u w:val="none"/>
              </w:rPr>
            </w:pPr>
            <w:r>
              <w:rPr>
                <w:rFonts w:hint="eastAsia"/>
                <w:bCs/>
                <w:szCs w:val="21"/>
                <w:u w:val="none"/>
                <w:lang w:val="en-US" w:eastAsia="zh-CN"/>
              </w:rPr>
              <w:t>柳州</w:t>
            </w:r>
            <w:r>
              <w:rPr>
                <w:rFonts w:hint="eastAsia"/>
                <w:bCs/>
                <w:szCs w:val="21"/>
                <w:u w:val="none"/>
              </w:rPr>
              <w:t>供电局建立有变电站运行期变压器冷却油外泄污染风险事故应急预案，事故油池巡查、维护管理制度完善。</w:t>
            </w:r>
          </w:p>
          <w:p w14:paraId="58AA3251">
            <w:pPr>
              <w:adjustRightInd w:val="0"/>
              <w:snapToGrid w:val="0"/>
              <w:ind w:firstLine="480" w:firstLineChars="200"/>
              <w:rPr>
                <w:bCs/>
                <w:szCs w:val="21"/>
                <w:u w:val="none"/>
              </w:rPr>
            </w:pPr>
            <w:r>
              <w:rPr>
                <w:bCs/>
                <w:szCs w:val="21"/>
                <w:u w:val="none"/>
              </w:rPr>
              <w:t>变压器事故漏油及检修时，会产生少量废变压器油，根据</w:t>
            </w:r>
            <w:r>
              <w:rPr>
                <w:rFonts w:hint="eastAsia" w:ascii="宋体" w:hAnsi="宋体" w:eastAsia="宋体"/>
                <w:sz w:val="24"/>
                <w:szCs w:val="24"/>
              </w:rPr>
              <w:t>《</w:t>
            </w:r>
            <w:bookmarkStart w:id="60" w:name="OLE_LINK1"/>
            <w:r>
              <w:rPr>
                <w:rFonts w:hint="eastAsia" w:ascii="宋体" w:hAnsi="宋体" w:eastAsia="宋体"/>
                <w:sz w:val="24"/>
                <w:szCs w:val="24"/>
              </w:rPr>
              <w:t>国家危险废物名录</w:t>
            </w:r>
            <w:bookmarkEnd w:id="60"/>
            <w:r>
              <w:rPr>
                <w:rFonts w:hint="eastAsia" w:ascii="宋体" w:hAnsi="宋体" w:eastAsia="宋体"/>
                <w:sz w:val="24"/>
                <w:szCs w:val="24"/>
              </w:rPr>
              <w:t>（</w:t>
            </w:r>
            <w:r>
              <w:rPr>
                <w:rFonts w:hint="default" w:ascii="Times New Roman" w:hAnsi="Times New Roman" w:eastAsia="Times New Roman"/>
                <w:sz w:val="24"/>
                <w:szCs w:val="24"/>
              </w:rPr>
              <w:t>202</w:t>
            </w:r>
            <w:r>
              <w:rPr>
                <w:rFonts w:hint="eastAsia" w:eastAsia="宋体"/>
                <w:sz w:val="24"/>
                <w:szCs w:val="24"/>
                <w:lang w:val="en-US" w:eastAsia="zh-CN"/>
              </w:rPr>
              <w:t>5</w:t>
            </w:r>
            <w:r>
              <w:rPr>
                <w:rFonts w:hint="eastAsia" w:ascii="宋体" w:hAnsi="宋体" w:eastAsia="宋体"/>
                <w:sz w:val="24"/>
                <w:szCs w:val="24"/>
              </w:rPr>
              <w:t>年版）》中的</w:t>
            </w:r>
            <w:r>
              <w:rPr>
                <w:rFonts w:hint="default" w:ascii="Times New Roman" w:hAnsi="Times New Roman" w:eastAsia="Times New Roman"/>
                <w:sz w:val="24"/>
                <w:szCs w:val="24"/>
              </w:rPr>
              <w:t>HW08</w:t>
            </w:r>
            <w:r>
              <w:rPr>
                <w:rFonts w:hint="eastAsia" w:ascii="宋体" w:hAnsi="宋体" w:eastAsia="宋体"/>
                <w:sz w:val="24"/>
                <w:szCs w:val="24"/>
              </w:rPr>
              <w:t>废矿物油与含矿物油废物，危险特性为毒性（</w:t>
            </w:r>
            <w:r>
              <w:rPr>
                <w:rFonts w:hint="default" w:ascii="Times New Roman" w:hAnsi="Times New Roman" w:eastAsia="Times New Roman"/>
                <w:sz w:val="24"/>
                <w:szCs w:val="24"/>
              </w:rPr>
              <w:t>T</w:t>
            </w:r>
            <w:r>
              <w:rPr>
                <w:rFonts w:hint="eastAsia" w:ascii="宋体" w:hAnsi="宋体" w:eastAsia="宋体"/>
                <w:sz w:val="24"/>
                <w:szCs w:val="24"/>
              </w:rPr>
              <w:t>）和易燃性（</w:t>
            </w:r>
            <w:r>
              <w:rPr>
                <w:rFonts w:hint="default" w:ascii="Times New Roman" w:hAnsi="Times New Roman" w:eastAsia="Times New Roman"/>
                <w:sz w:val="24"/>
                <w:szCs w:val="24"/>
              </w:rPr>
              <w:t>I</w:t>
            </w:r>
            <w:r>
              <w:rPr>
                <w:rFonts w:hint="eastAsia" w:ascii="宋体" w:hAnsi="宋体" w:eastAsia="宋体"/>
                <w:sz w:val="24"/>
                <w:szCs w:val="24"/>
              </w:rPr>
              <w:t>），废物代码</w:t>
            </w:r>
            <w:r>
              <w:rPr>
                <w:rFonts w:hint="default" w:ascii="Times New Roman" w:hAnsi="Times New Roman" w:eastAsia="Times New Roman"/>
                <w:sz w:val="24"/>
                <w:szCs w:val="24"/>
              </w:rPr>
              <w:t>900-220-08</w:t>
            </w:r>
            <w:r>
              <w:rPr>
                <w:rFonts w:hint="eastAsia" w:ascii="宋体" w:hAnsi="宋体" w:eastAsia="宋体"/>
                <w:sz w:val="24"/>
                <w:szCs w:val="24"/>
              </w:rPr>
              <w:t>。</w:t>
            </w:r>
            <w:r>
              <w:rPr>
                <w:u w:val="none"/>
              </w:rPr>
              <w:t>变压器一般情况下2~3年检修一次，在检修过程中，变压器油由专用工具收集，存放在事先准备好的容器内，在检修工作完毕后，再将变压器油注入变压器，无变压器油外排；一般只有事故发生时才会发生变压器油外泄。</w:t>
            </w:r>
            <w:r>
              <w:rPr>
                <w:rFonts w:hint="eastAsia"/>
                <w:u w:val="none"/>
                <w:lang w:val="en-US" w:eastAsia="zh-CN"/>
              </w:rPr>
              <w:t>180MVA</w:t>
            </w:r>
            <w:r>
              <w:rPr>
                <w:rFonts w:hint="eastAsia"/>
                <w:u w:val="none"/>
              </w:rPr>
              <w:t>主变压器单台主变总油量为49800kg~54100kg，油量体积约为55.30m³~60.1m³</w:t>
            </w:r>
            <w:r>
              <w:rPr>
                <w:rFonts w:hint="eastAsia"/>
                <w:u w:val="none"/>
                <w:lang w:eastAsia="zh-CN"/>
              </w:rPr>
              <w:t>，</w:t>
            </w:r>
            <w:r>
              <w:rPr>
                <w:u w:val="none"/>
              </w:rPr>
              <w:t>事故状态下</w:t>
            </w:r>
            <w:r>
              <w:rPr>
                <w:rFonts w:hint="eastAsia"/>
                <w:u w:val="none"/>
                <w:lang w:val="en-US" w:eastAsia="zh-CN"/>
              </w:rPr>
              <w:t>容量为65</w:t>
            </w:r>
            <w:r>
              <w:rPr>
                <w:bCs/>
                <w:szCs w:val="21"/>
                <w:u w:val="none"/>
              </w:rPr>
              <w:t>m</w:t>
            </w:r>
            <w:r>
              <w:rPr>
                <w:bCs/>
                <w:szCs w:val="21"/>
                <w:u w:val="none"/>
                <w:vertAlign w:val="superscript"/>
              </w:rPr>
              <w:t>3</w:t>
            </w:r>
            <w:r>
              <w:rPr>
                <w:bCs/>
                <w:szCs w:val="21"/>
                <w:u w:val="none"/>
              </w:rPr>
              <w:t>的事故油池</w:t>
            </w:r>
            <w:r>
              <w:rPr>
                <w:rFonts w:hint="eastAsia"/>
                <w:bCs/>
                <w:szCs w:val="21"/>
                <w:u w:val="none"/>
                <w:lang w:val="en-US" w:eastAsia="zh-CN"/>
              </w:rPr>
              <w:t>即可满足容纳单台主变最大油量100%的设计规范要求</w:t>
            </w:r>
            <w:r>
              <w:rPr>
                <w:rFonts w:hint="eastAsia"/>
                <w:bCs/>
                <w:szCs w:val="21"/>
                <w:u w:val="none"/>
                <w:lang w:eastAsia="zh-CN"/>
              </w:rPr>
              <w:t>。</w:t>
            </w:r>
            <w:r>
              <w:rPr>
                <w:bCs/>
                <w:szCs w:val="21"/>
                <w:u w:val="none"/>
              </w:rPr>
              <w:t>主变压器下设有事故油坑并铺设卵石层，事故油坑与事故油池相连，可以有效收集事故情况下泄漏的变压器油，确保变压器油事故泄漏时不外溢至外环境。在事故情况下，泄漏的变压器油经过事故油坑内铺设的卵石层后流入集油管道，进而自流进入事故油池。事故时产生的废变压器油将交有资质单位处理。</w:t>
            </w:r>
          </w:p>
          <w:p w14:paraId="1F3FC63F">
            <w:pPr>
              <w:adjustRightInd w:val="0"/>
              <w:snapToGrid w:val="0"/>
              <w:ind w:firstLine="480"/>
              <w:rPr>
                <w:rFonts w:hint="eastAsia"/>
                <w:bCs/>
                <w:szCs w:val="21"/>
                <w:u w:val="none"/>
              </w:rPr>
            </w:pPr>
            <w:r>
              <w:rPr>
                <w:rFonts w:hint="eastAsia"/>
                <w:bCs/>
                <w:szCs w:val="21"/>
                <w:u w:val="none"/>
              </w:rPr>
              <w:t>变电站产生的极少量废蓄电池，属危险废物，废物类别为HW31，废物代码为900-052-31，每八至十年更换一组200Ah蓄电池，更换时由有相应危险废物处理资质的厂家回收。</w:t>
            </w:r>
          </w:p>
          <w:p w14:paraId="2E3994B0">
            <w:pPr>
              <w:pStyle w:val="9"/>
            </w:pPr>
          </w:p>
        </w:tc>
      </w:tr>
      <w:tr w14:paraId="4F1A9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456" w:type="dxa"/>
            <w:vAlign w:val="center"/>
          </w:tcPr>
          <w:p w14:paraId="588495B1">
            <w:pPr>
              <w:pStyle w:val="17"/>
              <w:adjustRightInd w:val="0"/>
              <w:snapToGrid w:val="0"/>
              <w:spacing w:beforeAutospacing="0" w:afterAutospacing="0"/>
              <w:jc w:val="center"/>
              <w:rPr>
                <w:rFonts w:ascii="Times New Roman" w:hAnsi="Times New Roman"/>
                <w:bCs/>
                <w:kern w:val="2"/>
                <w:szCs w:val="24"/>
                <w:u w:val="none"/>
              </w:rPr>
            </w:pPr>
            <w:r>
              <w:rPr>
                <w:rFonts w:ascii="Times New Roman" w:hAnsi="Times New Roman"/>
                <w:bCs/>
                <w:kern w:val="2"/>
                <w:szCs w:val="24"/>
                <w:u w:val="none"/>
              </w:rPr>
              <w:t>选址选线环境合理性分析</w:t>
            </w:r>
          </w:p>
        </w:tc>
        <w:tc>
          <w:tcPr>
            <w:tcW w:w="8815" w:type="dxa"/>
          </w:tcPr>
          <w:p w14:paraId="038B1825">
            <w:pPr>
              <w:adjustRightInd w:val="0"/>
              <w:snapToGrid w:val="0"/>
              <w:ind w:firstLine="480"/>
              <w:rPr>
                <w:rFonts w:hint="default"/>
                <w:bCs/>
                <w:u w:val="none"/>
                <w:lang w:val="en-US"/>
              </w:rPr>
            </w:pPr>
            <w:r>
              <w:rPr>
                <w:rFonts w:hint="default" w:ascii="Times New Roman" w:hAnsi="Times New Roman" w:eastAsia="宋体" w:cs="Times New Roman"/>
                <w:bCs/>
                <w:szCs w:val="21"/>
                <w:u w:val="none"/>
                <w:lang w:val="en-US" w:eastAsia="zh-CN"/>
              </w:rPr>
              <w:t>本项目在原站址内扩建，不新增占地，</w:t>
            </w:r>
            <w:r>
              <w:rPr>
                <w:rFonts w:hint="eastAsia" w:ascii="Times New Roman" w:hAnsi="Times New Roman" w:eastAsia="宋体" w:cs="Times New Roman"/>
                <w:bCs/>
                <w:szCs w:val="21"/>
                <w:u w:val="none"/>
                <w:lang w:val="en-US" w:eastAsia="zh-CN"/>
              </w:rPr>
              <w:t>前期</w:t>
            </w:r>
            <w:r>
              <w:rPr>
                <w:rFonts w:hint="default" w:ascii="Times New Roman" w:hAnsi="Times New Roman" w:eastAsia="宋体" w:cs="Times New Roman"/>
                <w:bCs/>
                <w:szCs w:val="21"/>
                <w:u w:val="none"/>
                <w:lang w:val="en-US" w:eastAsia="zh-CN"/>
              </w:rPr>
              <w:t>选址已避让自然保护区、饮用水水源保护区等环境敏感区</w:t>
            </w:r>
            <w:r>
              <w:rPr>
                <w:rFonts w:hint="eastAsia" w:ascii="Times New Roman" w:hAnsi="Times New Roman" w:eastAsia="宋体" w:cs="Times New Roman"/>
                <w:bCs/>
                <w:szCs w:val="21"/>
                <w:u w:val="none"/>
                <w:lang w:val="en-US" w:eastAsia="zh-CN"/>
              </w:rPr>
              <w:t>，本期不涉及选址。</w:t>
            </w:r>
          </w:p>
        </w:tc>
      </w:tr>
    </w:tbl>
    <w:p w14:paraId="5AAB0804">
      <w:pPr>
        <w:pStyle w:val="17"/>
        <w:jc w:val="center"/>
        <w:rPr>
          <w:rFonts w:ascii="Times New Roman" w:hAnsi="Times New Roman"/>
          <w:snapToGrid w:val="0"/>
          <w:szCs w:val="24"/>
          <w:u w:val="none"/>
        </w:rPr>
        <w:sectPr>
          <w:pgSz w:w="11906" w:h="16838"/>
          <w:pgMar w:top="1440" w:right="1800" w:bottom="1440" w:left="1800" w:header="851" w:footer="1077" w:gutter="0"/>
          <w:cols w:space="720" w:num="1"/>
          <w:docGrid w:linePitch="312" w:charSpace="0"/>
        </w:sectPr>
      </w:pPr>
    </w:p>
    <w:p w14:paraId="595432D3">
      <w:pPr>
        <w:pStyle w:val="2"/>
        <w:jc w:val="center"/>
        <w:rPr>
          <w:u w:val="none"/>
        </w:rPr>
      </w:pPr>
      <w:bookmarkStart w:id="61" w:name="_Toc27290"/>
      <w:bookmarkStart w:id="62" w:name="_Toc25139"/>
      <w:bookmarkStart w:id="63" w:name="_Toc29740"/>
      <w:bookmarkStart w:id="64" w:name="_Toc16798"/>
      <w:r>
        <w:rPr>
          <w:rFonts w:hint="eastAsia"/>
          <w:u w:val="none"/>
        </w:rPr>
        <w:t>五、主要生态环境保护措施</w:t>
      </w:r>
      <w:bookmarkEnd w:id="61"/>
      <w:bookmarkEnd w:id="62"/>
      <w:bookmarkEnd w:id="63"/>
      <w:bookmarkEnd w:id="64"/>
    </w:p>
    <w:tbl>
      <w:tblPr>
        <w:tblStyle w:val="19"/>
        <w:tblW w:w="9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358"/>
      </w:tblGrid>
      <w:tr w14:paraId="4D760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1" w:type="dxa"/>
            <w:tcMar>
              <w:left w:w="28" w:type="dxa"/>
              <w:right w:w="28" w:type="dxa"/>
            </w:tcMar>
            <w:vAlign w:val="center"/>
          </w:tcPr>
          <w:p w14:paraId="63B14EF4">
            <w:pPr>
              <w:adjustRightInd w:val="0"/>
              <w:snapToGrid w:val="0"/>
              <w:jc w:val="center"/>
              <w:rPr>
                <w:bCs/>
                <w:u w:val="none"/>
              </w:rPr>
            </w:pPr>
            <w:r>
              <w:rPr>
                <w:bCs/>
                <w:spacing w:val="10"/>
                <w:u w:val="none"/>
              </w:rPr>
              <w:t>施工期生态环境保护措施</w:t>
            </w:r>
          </w:p>
        </w:tc>
        <w:tc>
          <w:tcPr>
            <w:tcW w:w="8358" w:type="dxa"/>
          </w:tcPr>
          <w:p w14:paraId="4DF60714">
            <w:pPr>
              <w:adjustRightInd w:val="0"/>
              <w:snapToGrid w:val="0"/>
              <w:rPr>
                <w:b/>
                <w:bCs/>
                <w:u w:val="none"/>
              </w:rPr>
            </w:pPr>
            <w:r>
              <w:rPr>
                <w:b/>
                <w:bCs/>
                <w:u w:val="none"/>
              </w:rPr>
              <w:t>5.1生态环境影响防控措施</w:t>
            </w:r>
          </w:p>
          <w:p w14:paraId="25CE3DC0">
            <w:pPr>
              <w:adjustRightInd w:val="0"/>
              <w:snapToGrid w:val="0"/>
              <w:ind w:firstLine="480"/>
              <w:rPr>
                <w:u w:val="none"/>
              </w:rPr>
            </w:pPr>
            <w:r>
              <w:rPr>
                <w:u w:val="none"/>
              </w:rPr>
              <w:t>工程的建设应注重土地及植被资源的恢复和改善。施工期间对于基础开挖、弃土临时堆放等应采取相应的防护和管理措施：</w:t>
            </w:r>
          </w:p>
          <w:p w14:paraId="5417192D">
            <w:pPr>
              <w:adjustRightInd w:val="0"/>
              <w:snapToGrid w:val="0"/>
              <w:ind w:firstLine="480" w:firstLineChars="200"/>
              <w:rPr>
                <w:u w:val="none"/>
              </w:rPr>
            </w:pPr>
            <w:r>
              <w:rPr>
                <w:u w:val="none"/>
              </w:rPr>
              <w:t>a)工程施工根据图纸合理安排施工顺序，尽量分片开挖、铺设、及时回填，减少施工对土地的扰动，减少弃渣的临时堆放。</w:t>
            </w:r>
          </w:p>
          <w:p w14:paraId="6535A9FC">
            <w:pPr>
              <w:adjustRightInd w:val="0"/>
              <w:snapToGrid w:val="0"/>
              <w:ind w:firstLine="480" w:firstLineChars="200"/>
              <w:rPr>
                <w:u w:val="none"/>
              </w:rPr>
            </w:pPr>
            <w:r>
              <w:rPr>
                <w:u w:val="none"/>
              </w:rPr>
              <w:t>b)施工单位动土工程尽量安排避开雨天，工程建设过程中的开挖土方在回填之前，</w:t>
            </w:r>
            <w:r>
              <w:rPr>
                <w:rFonts w:hint="eastAsia"/>
                <w:u w:val="none"/>
                <w:lang w:eastAsia="zh-CN"/>
              </w:rPr>
              <w:t>做好</w:t>
            </w:r>
            <w:r>
              <w:rPr>
                <w:u w:val="none"/>
              </w:rPr>
              <w:t>临时防护措施，集中堆放，并注意堆放坡度，</w:t>
            </w:r>
            <w:r>
              <w:rPr>
                <w:rFonts w:hint="eastAsia"/>
                <w:u w:val="none"/>
                <w:lang w:eastAsia="zh-CN"/>
              </w:rPr>
              <w:t>做好</w:t>
            </w:r>
            <w:r>
              <w:rPr>
                <w:u w:val="none"/>
              </w:rPr>
              <w:t>施工区内的排水工作。</w:t>
            </w:r>
          </w:p>
          <w:p w14:paraId="32FD5D53">
            <w:pPr>
              <w:adjustRightInd w:val="0"/>
              <w:snapToGrid w:val="0"/>
              <w:ind w:firstLine="480" w:firstLineChars="200"/>
              <w:rPr>
                <w:u w:val="none"/>
              </w:rPr>
            </w:pPr>
            <w:r>
              <w:rPr>
                <w:u w:val="none"/>
              </w:rPr>
              <w:t>c)工程砂土料要集中堆放，同时在其表面加盖塑料薄膜或在其周边用装土麻袋进行防护。</w:t>
            </w:r>
          </w:p>
          <w:p w14:paraId="1768AB30">
            <w:pPr>
              <w:pStyle w:val="11"/>
              <w:spacing w:line="360" w:lineRule="auto"/>
              <w:ind w:left="0" w:leftChars="0" w:firstLine="480"/>
              <w:rPr>
                <w:szCs w:val="24"/>
                <w:u w:val="none"/>
              </w:rPr>
            </w:pPr>
            <w:r>
              <w:rPr>
                <w:rFonts w:ascii="Times New Roman" w:hAnsi="Times New Roman"/>
                <w:szCs w:val="24"/>
                <w:u w:val="none"/>
              </w:rPr>
              <w:t>d)及时对站区内裸露地表进行整治绿化，恢复植被。</w:t>
            </w:r>
          </w:p>
          <w:p w14:paraId="02D795E8">
            <w:pPr>
              <w:adjustRightInd/>
              <w:snapToGrid/>
              <w:ind w:firstLine="0" w:firstLineChars="0"/>
              <w:rPr>
                <w:b/>
                <w:bCs/>
                <w:u w:val="none"/>
              </w:rPr>
            </w:pPr>
            <w:r>
              <w:rPr>
                <w:b/>
                <w:bCs/>
                <w:u w:val="none"/>
              </w:rPr>
              <w:t>5.2施工扬尘污染防治措施</w:t>
            </w:r>
          </w:p>
          <w:p w14:paraId="6717A990">
            <w:pPr>
              <w:adjustRightInd w:val="0"/>
              <w:snapToGrid w:val="0"/>
              <w:ind w:firstLine="480" w:firstLineChars="200"/>
              <w:rPr>
                <w:rFonts w:hint="eastAsia"/>
                <w:color w:val="000000" w:themeColor="text1"/>
                <w:u w:val="none"/>
                <w:lang w:eastAsia="zh-CN"/>
                <w14:textFill>
                  <w14:solidFill>
                    <w14:schemeClr w14:val="tx1"/>
                  </w14:solidFill>
                </w14:textFill>
              </w:rPr>
            </w:pPr>
            <w:r>
              <w:rPr>
                <w:rFonts w:hint="eastAsia"/>
                <w:color w:val="000000" w:themeColor="text1"/>
                <w:sz w:val="24"/>
                <w:szCs w:val="24"/>
                <w:u w:val="none"/>
                <w14:textFill>
                  <w14:solidFill>
                    <w14:schemeClr w14:val="tx1"/>
                  </w14:solidFill>
                </w14:textFill>
              </w:rPr>
              <w:t>施工过程中，应当加强对施工现场和物料运输的管理，保持道路清洁，管控料堆和渣土堆放，防止扬尘污染。施工场地应定期洒水抑尘，当出现风速过大等不利天气状况或重污染天气应急响应期间，应停止施工作业。</w:t>
            </w:r>
          </w:p>
          <w:p w14:paraId="069B8DA8">
            <w:pPr>
              <w:adjustRightInd w:val="0"/>
              <w:snapToGrid w:val="0"/>
              <w:ind w:firstLine="480" w:firstLineChars="200"/>
              <w:rPr>
                <w:u w:val="none"/>
              </w:rPr>
            </w:pPr>
            <w:r>
              <w:rPr>
                <w:rFonts w:hint="eastAsia"/>
                <w:u w:val="none"/>
              </w:rPr>
              <w:t>a）施工工地做到周边围挡、土方开挖湿法作业、物料堆放覆盖、路面硬化、出入车辆清洗、渣土车辆密闭运输“六个百分之百”；</w:t>
            </w:r>
          </w:p>
          <w:p w14:paraId="7F9BD5F6">
            <w:pPr>
              <w:adjustRightInd w:val="0"/>
              <w:ind w:firstLine="480" w:firstLineChars="200"/>
              <w:rPr>
                <w:u w:val="none"/>
              </w:rPr>
            </w:pPr>
            <w:r>
              <w:rPr>
                <w:u w:val="none"/>
              </w:rPr>
              <w:t>b）</w:t>
            </w:r>
            <w:r>
              <w:rPr>
                <w:rFonts w:hint="eastAsia"/>
                <w:u w:val="none"/>
              </w:rPr>
              <w:t>施工企业落实市污染应急响应调度措施要求，及时实施喷淋抑尘作业。加快修缮硬化城市主干道周边及城乡结合部道路、建成区内重型车辆的停车场或物流转运场进出口衔接路段</w:t>
            </w:r>
            <w:r>
              <w:rPr>
                <w:u w:val="none"/>
              </w:rPr>
              <w:t>；</w:t>
            </w:r>
          </w:p>
          <w:p w14:paraId="21E7972C">
            <w:pPr>
              <w:ind w:firstLine="480" w:firstLineChars="200"/>
              <w:rPr>
                <w:u w:val="none"/>
              </w:rPr>
            </w:pPr>
            <w:r>
              <w:rPr>
                <w:u w:val="none"/>
              </w:rPr>
              <w:t>c</w:t>
            </w:r>
            <w:r>
              <w:rPr>
                <w:rFonts w:hint="eastAsia"/>
                <w:u w:val="none"/>
              </w:rPr>
              <w:t>）加强施工工地出场车辆冲洗管理，确保运输车辆车身、轮胎、底盘等部位积泥冲洗干净后方可出场，确保出入口两</w:t>
            </w:r>
            <w:r>
              <w:rPr>
                <w:rFonts w:hint="eastAsia"/>
                <w:u w:val="none"/>
                <w:lang w:val="en-US" w:eastAsia="zh-CN"/>
              </w:rPr>
              <w:t>侧</w:t>
            </w:r>
            <w:r>
              <w:rPr>
                <w:rFonts w:hint="eastAsia"/>
                <w:u w:val="none"/>
              </w:rPr>
              <w:t>50</w:t>
            </w:r>
            <w:r>
              <w:rPr>
                <w:rFonts w:hint="eastAsia"/>
                <w:u w:val="none"/>
                <w:lang w:val="en-US" w:eastAsia="zh-CN"/>
              </w:rPr>
              <w:t>m</w:t>
            </w:r>
            <w:r>
              <w:rPr>
                <w:rFonts w:hint="eastAsia"/>
                <w:u w:val="none"/>
              </w:rPr>
              <w:t>范围内道路整洁。</w:t>
            </w:r>
          </w:p>
          <w:p w14:paraId="27DFDA1A">
            <w:pPr>
              <w:ind w:firstLine="480" w:firstLineChars="200"/>
              <w:rPr>
                <w:u w:val="none"/>
              </w:rPr>
            </w:pPr>
            <w:r>
              <w:rPr>
                <w:rFonts w:hint="eastAsia"/>
                <w:u w:val="none"/>
              </w:rPr>
              <w:t>施工</w:t>
            </w:r>
            <w:r>
              <w:rPr>
                <w:u w:val="none"/>
              </w:rPr>
              <w:t>扬尘污染防治</w:t>
            </w:r>
            <w:r>
              <w:rPr>
                <w:rFonts w:hint="eastAsia"/>
                <w:u w:val="none"/>
              </w:rPr>
              <w:t>责任主体为施工单位，与施工作业同步，资金来源为建筑工程安全文明施工费。</w:t>
            </w:r>
          </w:p>
          <w:p w14:paraId="5386FDA5">
            <w:pPr>
              <w:adjustRightInd w:val="0"/>
              <w:snapToGrid w:val="0"/>
              <w:rPr>
                <w:b/>
                <w:bCs/>
                <w:u w:val="none"/>
              </w:rPr>
            </w:pPr>
            <w:r>
              <w:rPr>
                <w:b/>
                <w:bCs/>
                <w:u w:val="none"/>
              </w:rPr>
              <w:t>5.3施工废水污染防治措施</w:t>
            </w:r>
          </w:p>
          <w:p w14:paraId="0BBA7CCE">
            <w:pPr>
              <w:numPr>
                <w:ilvl w:val="0"/>
                <w:numId w:val="3"/>
              </w:numPr>
              <w:adjustRightInd w:val="0"/>
              <w:snapToGrid w:val="0"/>
              <w:ind w:firstLine="480" w:firstLineChars="200"/>
              <w:rPr>
                <w:rFonts w:hint="eastAsia"/>
                <w:u w:val="none"/>
              </w:rPr>
            </w:pPr>
            <w:r>
              <w:rPr>
                <w:rFonts w:hint="eastAsia"/>
                <w:u w:val="none"/>
              </w:rPr>
              <w:t>施工期间生活污水依托站内前期化生活污水处理装置，生活污水经化粪池处理后用于站内绿化，不外排</w:t>
            </w:r>
            <w:r>
              <w:rPr>
                <w:rFonts w:hint="eastAsia"/>
                <w:u w:val="none"/>
                <w:lang w:eastAsia="zh-CN"/>
              </w:rPr>
              <w:t>，</w:t>
            </w:r>
            <w:r>
              <w:rPr>
                <w:rFonts w:hint="eastAsia"/>
                <w:u w:val="none"/>
              </w:rPr>
              <w:t>不会对周围水环境产生影响。</w:t>
            </w:r>
          </w:p>
          <w:p w14:paraId="49AA2791">
            <w:pPr>
              <w:adjustRightInd w:val="0"/>
              <w:snapToGrid w:val="0"/>
              <w:ind w:firstLine="480" w:firstLineChars="200"/>
              <w:rPr>
                <w:u w:val="none"/>
              </w:rPr>
            </w:pPr>
            <w:r>
              <w:rPr>
                <w:rFonts w:hint="eastAsia"/>
                <w:u w:val="none"/>
              </w:rPr>
              <w:t>b）采用</w:t>
            </w:r>
            <w:r>
              <w:rPr>
                <w:u w:val="none"/>
              </w:rPr>
              <w:t>商品混凝土，不在现场搅拌</w:t>
            </w:r>
            <w:r>
              <w:rPr>
                <w:rFonts w:hint="eastAsia"/>
                <w:u w:val="none"/>
              </w:rPr>
              <w:t>；</w:t>
            </w:r>
          </w:p>
          <w:p w14:paraId="301A001A">
            <w:pPr>
              <w:adjustRightInd w:val="0"/>
              <w:snapToGrid w:val="0"/>
              <w:ind w:firstLine="480" w:firstLineChars="200"/>
              <w:rPr>
                <w:rFonts w:hint="eastAsia" w:ascii="Times New Roman" w:hAnsi="Times New Roman" w:eastAsia="宋体" w:cs="Times New Roman"/>
                <w:u w:val="none"/>
                <w:lang w:eastAsia="zh-CN"/>
              </w:rPr>
            </w:pPr>
            <w:r>
              <w:rPr>
                <w:rFonts w:hint="eastAsia" w:ascii="Times New Roman" w:hAnsi="Times New Roman" w:eastAsia="宋体" w:cs="Times New Roman"/>
                <w:u w:val="none"/>
              </w:rPr>
              <w:t>c）施工车辆在指定地点清洗</w:t>
            </w:r>
            <w:r>
              <w:rPr>
                <w:rFonts w:hint="eastAsia" w:ascii="Times New Roman" w:hAnsi="Times New Roman" w:eastAsia="宋体" w:cs="Times New Roman"/>
                <w:u w:val="none"/>
                <w:lang w:eastAsia="zh-CN"/>
              </w:rPr>
              <w:t>；</w:t>
            </w:r>
          </w:p>
          <w:p w14:paraId="5068E8CE">
            <w:pPr>
              <w:adjustRightInd w:val="0"/>
              <w:snapToGrid w:val="0"/>
              <w:ind w:firstLine="480" w:firstLineChars="200"/>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d）施工废水经过施工场地修筑的沉淀池沉淀处理后，进行过滤沉淀简单处理后</w:t>
            </w:r>
            <w:r>
              <w:rPr>
                <w:rFonts w:hint="eastAsia" w:cs="Times New Roman"/>
                <w:u w:val="none"/>
                <w:lang w:val="en-US" w:eastAsia="zh-CN"/>
              </w:rPr>
              <w:t>回用于洒水降尘</w:t>
            </w:r>
            <w:r>
              <w:rPr>
                <w:rFonts w:hint="eastAsia" w:ascii="Times New Roman" w:hAnsi="Times New Roman" w:eastAsia="宋体" w:cs="Times New Roman"/>
                <w:u w:val="none"/>
                <w:lang w:val="en-US" w:eastAsia="zh-CN"/>
              </w:rPr>
              <w:t>。</w:t>
            </w:r>
          </w:p>
          <w:p w14:paraId="2B671106">
            <w:pPr>
              <w:ind w:firstLine="480" w:firstLineChars="200"/>
              <w:rPr>
                <w:u w:val="none"/>
              </w:rPr>
            </w:pPr>
            <w:r>
              <w:rPr>
                <w:rFonts w:hint="eastAsia"/>
                <w:u w:val="none"/>
              </w:rPr>
              <w:t>施工废水</w:t>
            </w:r>
            <w:r>
              <w:rPr>
                <w:u w:val="none"/>
              </w:rPr>
              <w:t>污染防治</w:t>
            </w:r>
            <w:r>
              <w:rPr>
                <w:rFonts w:hint="eastAsia"/>
                <w:u w:val="none"/>
              </w:rPr>
              <w:t>责任主体为施工单位，</w:t>
            </w:r>
            <w:r>
              <w:rPr>
                <w:rFonts w:hint="eastAsia"/>
                <w:u w:val="none"/>
                <w:lang w:val="en-US" w:eastAsia="zh-CN"/>
              </w:rPr>
              <w:t>生活污水</w:t>
            </w:r>
            <w:r>
              <w:rPr>
                <w:rFonts w:hint="eastAsia"/>
                <w:u w:val="none"/>
              </w:rPr>
              <w:t>污水处理依托前期工程。</w:t>
            </w:r>
          </w:p>
          <w:p w14:paraId="0C49BAD9">
            <w:pPr>
              <w:adjustRightInd w:val="0"/>
              <w:snapToGrid w:val="0"/>
              <w:rPr>
                <w:b/>
                <w:bCs/>
                <w:u w:val="none"/>
              </w:rPr>
            </w:pPr>
            <w:r>
              <w:rPr>
                <w:b/>
                <w:bCs/>
                <w:u w:val="none"/>
              </w:rPr>
              <w:t>5.4施工噪声污染防治措施</w:t>
            </w:r>
          </w:p>
          <w:p w14:paraId="6169D882">
            <w:pPr>
              <w:adjustRightInd w:val="0"/>
              <w:snapToGrid w:val="0"/>
              <w:ind w:firstLine="480" w:firstLineChars="200"/>
              <w:rPr>
                <w:u w:val="none"/>
              </w:rPr>
            </w:pPr>
            <w:r>
              <w:rPr>
                <w:rFonts w:hint="eastAsia"/>
                <w:u w:val="none"/>
              </w:rPr>
              <w:t>a）</w:t>
            </w:r>
            <w:r>
              <w:rPr>
                <w:u w:val="none"/>
              </w:rPr>
              <w:t>施工单位严格执行《建筑施工场界环境噪声排放标准》（GB12523-2011）的规定，在中午（12:00～14:30）</w:t>
            </w:r>
            <w:r>
              <w:rPr>
                <w:rFonts w:hint="eastAsia"/>
                <w:u w:val="none"/>
              </w:rPr>
              <w:t>和</w:t>
            </w:r>
            <w:r>
              <w:rPr>
                <w:u w:val="none"/>
              </w:rPr>
              <w:t>夜间（22：00～次日凌晨6：00）禁止噪声大机械施工作业；</w:t>
            </w:r>
          </w:p>
          <w:p w14:paraId="1C74A5CD">
            <w:pPr>
              <w:adjustRightInd w:val="0"/>
              <w:snapToGrid w:val="0"/>
              <w:ind w:firstLine="480" w:firstLineChars="200"/>
              <w:rPr>
                <w:u w:val="none"/>
              </w:rPr>
            </w:pPr>
            <w:r>
              <w:rPr>
                <w:u w:val="none"/>
              </w:rPr>
              <w:t>b）施工车辆在途经居民密集路段时，采取限时、限速行驶、不高音鸣号等措施。</w:t>
            </w:r>
          </w:p>
          <w:p w14:paraId="687E1868">
            <w:pPr>
              <w:ind w:firstLine="480" w:firstLineChars="200"/>
              <w:rPr>
                <w:u w:val="none"/>
              </w:rPr>
            </w:pPr>
            <w:r>
              <w:rPr>
                <w:u w:val="none"/>
              </w:rPr>
              <w:t>c）优先选用低噪声施工工艺和施工机械。</w:t>
            </w:r>
          </w:p>
          <w:p w14:paraId="6C6559D2">
            <w:pPr>
              <w:ind w:firstLine="480" w:firstLineChars="200"/>
              <w:rPr>
                <w:u w:val="none"/>
              </w:rPr>
            </w:pPr>
            <w:r>
              <w:rPr>
                <w:rFonts w:hint="eastAsia"/>
                <w:u w:val="none"/>
              </w:rPr>
              <w:t>施工噪声</w:t>
            </w:r>
            <w:r>
              <w:rPr>
                <w:u w:val="none"/>
              </w:rPr>
              <w:t>污染防治</w:t>
            </w:r>
            <w:r>
              <w:rPr>
                <w:rFonts w:hint="eastAsia"/>
                <w:u w:val="none"/>
              </w:rPr>
              <w:t>责任主体为施工单位，与施工作业同步，资金来源为安全文明施工费。</w:t>
            </w:r>
          </w:p>
          <w:p w14:paraId="64BDC723">
            <w:pPr>
              <w:adjustRightInd/>
              <w:snapToGrid/>
              <w:ind w:firstLine="0" w:firstLineChars="0"/>
              <w:rPr>
                <w:b/>
                <w:bCs/>
                <w:u w:val="none"/>
              </w:rPr>
            </w:pPr>
            <w:r>
              <w:rPr>
                <w:b/>
                <w:bCs/>
                <w:u w:val="none"/>
              </w:rPr>
              <w:t>5.5施工固体废弃物污染防治措施</w:t>
            </w:r>
          </w:p>
          <w:p w14:paraId="4671C04B">
            <w:pPr>
              <w:adjustRightInd w:val="0"/>
              <w:snapToGrid w:val="0"/>
              <w:ind w:firstLine="480" w:firstLineChars="200"/>
              <w:rPr>
                <w:u w:val="none"/>
              </w:rPr>
            </w:pPr>
            <w:r>
              <w:rPr>
                <w:rFonts w:hint="eastAsia"/>
                <w:u w:val="none"/>
              </w:rPr>
              <w:t>变电站</w:t>
            </w:r>
            <w:r>
              <w:rPr>
                <w:u w:val="none"/>
              </w:rPr>
              <w:t>施工期固体废物主要为施工人员产生的生活垃圾</w:t>
            </w:r>
            <w:r>
              <w:rPr>
                <w:rFonts w:hint="eastAsia"/>
                <w:u w:val="none"/>
              </w:rPr>
              <w:t>与旧设备更换产生的建筑垃圾，施工时进行以下措施：</w:t>
            </w:r>
          </w:p>
          <w:p w14:paraId="7A96432E">
            <w:pPr>
              <w:adjustRightInd w:val="0"/>
              <w:snapToGrid w:val="0"/>
              <w:ind w:firstLine="480" w:firstLineChars="200"/>
              <w:rPr>
                <w:u w:val="none"/>
              </w:rPr>
            </w:pPr>
            <w:r>
              <w:rPr>
                <w:rFonts w:hint="eastAsia"/>
                <w:u w:val="none"/>
              </w:rPr>
              <w:t>a）</w:t>
            </w:r>
            <w:r>
              <w:rPr>
                <w:u w:val="none"/>
              </w:rPr>
              <w:t>生活垃圾经集中收集后，清运至当地的垃圾收集点，禁止乱丢乱弃</w:t>
            </w:r>
            <w:r>
              <w:rPr>
                <w:rFonts w:hint="eastAsia"/>
                <w:u w:val="none"/>
                <w:lang w:eastAsia="zh-CN"/>
              </w:rPr>
              <w:t>；</w:t>
            </w:r>
          </w:p>
          <w:p w14:paraId="6E0B09DD">
            <w:pPr>
              <w:adjustRightInd w:val="0"/>
              <w:snapToGrid w:val="0"/>
              <w:ind w:firstLine="480" w:firstLineChars="200"/>
              <w:rPr>
                <w:u w:val="none"/>
              </w:rPr>
            </w:pPr>
            <w:r>
              <w:rPr>
                <w:rFonts w:hint="eastAsia"/>
                <w:u w:val="none"/>
              </w:rPr>
              <w:t>b）</w:t>
            </w:r>
            <w:r>
              <w:rPr>
                <w:u w:val="none"/>
              </w:rPr>
              <w:t>建筑垃圾进行分类回收利用，不可回收利用的运至当地政府有关部门指定地点堆放；</w:t>
            </w:r>
          </w:p>
        </w:tc>
      </w:tr>
      <w:tr w14:paraId="3FD3F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661" w:type="dxa"/>
            <w:tcMar>
              <w:left w:w="28" w:type="dxa"/>
              <w:right w:w="28" w:type="dxa"/>
            </w:tcMar>
            <w:vAlign w:val="center"/>
          </w:tcPr>
          <w:p w14:paraId="2244597E">
            <w:pPr>
              <w:adjustRightInd w:val="0"/>
              <w:snapToGrid w:val="0"/>
              <w:jc w:val="center"/>
              <w:rPr>
                <w:bCs/>
                <w:spacing w:val="10"/>
                <w:u w:val="none"/>
              </w:rPr>
            </w:pPr>
            <w:r>
              <w:rPr>
                <w:bCs/>
                <w:spacing w:val="10"/>
                <w:u w:val="none"/>
              </w:rPr>
              <w:t>运营期生态环境保护措施</w:t>
            </w:r>
          </w:p>
        </w:tc>
        <w:tc>
          <w:tcPr>
            <w:tcW w:w="8358" w:type="dxa"/>
          </w:tcPr>
          <w:p w14:paraId="592C9CEB">
            <w:pPr>
              <w:adjustRightInd w:val="0"/>
              <w:snapToGrid w:val="0"/>
              <w:rPr>
                <w:b/>
                <w:bCs/>
                <w:spacing w:val="10"/>
                <w:u w:val="none"/>
              </w:rPr>
            </w:pPr>
            <w:r>
              <w:rPr>
                <w:b/>
                <w:bCs/>
                <w:spacing w:val="10"/>
                <w:u w:val="none"/>
              </w:rPr>
              <w:t>5.6运营期</w:t>
            </w:r>
            <w:r>
              <w:rPr>
                <w:b/>
                <w:bCs/>
                <w:u w:val="none"/>
              </w:rPr>
              <w:t>废水污染防治措施</w:t>
            </w:r>
          </w:p>
          <w:p w14:paraId="47E5363F">
            <w:pPr>
              <w:adjustRightInd w:val="0"/>
              <w:snapToGrid w:val="0"/>
              <w:ind w:firstLine="480" w:firstLineChars="200"/>
              <w:rPr>
                <w:u w:val="none"/>
              </w:rPr>
            </w:pPr>
            <w:r>
              <w:rPr>
                <w:rFonts w:hint="eastAsia"/>
                <w:u w:val="none"/>
              </w:rPr>
              <w:t>生活污水经化粪池处理后用于站内绿化，不外排，不会对周围水环境产生影响。</w:t>
            </w:r>
          </w:p>
          <w:p w14:paraId="7EEC8FB3">
            <w:pPr>
              <w:adjustRightInd w:val="0"/>
              <w:snapToGrid w:val="0"/>
              <w:ind w:firstLine="480" w:firstLineChars="200"/>
              <w:rPr>
                <w:u w:val="none"/>
              </w:rPr>
            </w:pPr>
            <w:r>
              <w:rPr>
                <w:u w:val="none"/>
              </w:rPr>
              <w:t>废水处理依托前期</w:t>
            </w:r>
            <w:r>
              <w:rPr>
                <w:rFonts w:hint="eastAsia"/>
                <w:u w:val="none"/>
              </w:rPr>
              <w:t>化粪池</w:t>
            </w:r>
            <w:r>
              <w:rPr>
                <w:u w:val="none"/>
              </w:rPr>
              <w:t>，责任主体为建设单位。</w:t>
            </w:r>
          </w:p>
          <w:p w14:paraId="6208B79C">
            <w:pPr>
              <w:adjustRightInd w:val="0"/>
              <w:snapToGrid w:val="0"/>
              <w:rPr>
                <w:b/>
                <w:bCs/>
                <w:spacing w:val="10"/>
                <w:u w:val="none"/>
              </w:rPr>
            </w:pPr>
            <w:r>
              <w:rPr>
                <w:b/>
                <w:bCs/>
                <w:spacing w:val="10"/>
                <w:u w:val="none"/>
              </w:rPr>
              <w:t>5.7运营期噪声污染防治措施</w:t>
            </w:r>
          </w:p>
          <w:p w14:paraId="5F5F3AA8">
            <w:pPr>
              <w:adjustRightInd w:val="0"/>
              <w:snapToGrid w:val="0"/>
              <w:ind w:firstLine="480" w:firstLineChars="200"/>
              <w:rPr>
                <w:u w:val="none"/>
              </w:rPr>
            </w:pPr>
            <w:r>
              <w:rPr>
                <w:rFonts w:hint="eastAsia"/>
                <w:u w:val="none"/>
              </w:rPr>
              <w:t>加强巡查和检查，对</w:t>
            </w:r>
            <w:r>
              <w:rPr>
                <w:u w:val="none"/>
              </w:rPr>
              <w:t>代表性的点进行监测，</w:t>
            </w:r>
            <w:r>
              <w:rPr>
                <w:rFonts w:hint="eastAsia"/>
                <w:u w:val="none"/>
              </w:rPr>
              <w:t>对声</w:t>
            </w:r>
            <w:r>
              <w:rPr>
                <w:u w:val="none"/>
              </w:rPr>
              <w:t>环境监测点可选择</w:t>
            </w:r>
            <w:r>
              <w:rPr>
                <w:rFonts w:hint="eastAsia"/>
                <w:u w:val="none"/>
              </w:rPr>
              <w:t>厂界四周与声</w:t>
            </w:r>
            <w:r>
              <w:rPr>
                <w:u w:val="none"/>
              </w:rPr>
              <w:t>环境敏感目标进行监测</w:t>
            </w:r>
            <w:r>
              <w:rPr>
                <w:rFonts w:hint="eastAsia"/>
                <w:u w:val="none"/>
              </w:rPr>
              <w:t>，</w:t>
            </w:r>
            <w:r>
              <w:rPr>
                <w:u w:val="none"/>
              </w:rPr>
              <w:t>确保厂界排放噪声和工程周围声环境敏感目标分别满足GB12348和GB3096要求。</w:t>
            </w:r>
          </w:p>
          <w:p w14:paraId="10CB732D">
            <w:pPr>
              <w:adjustRightInd w:val="0"/>
              <w:snapToGrid w:val="0"/>
              <w:ind w:firstLine="480" w:firstLineChars="200"/>
              <w:rPr>
                <w:u w:val="none"/>
              </w:rPr>
            </w:pPr>
            <w:r>
              <w:rPr>
                <w:u w:val="none"/>
              </w:rPr>
              <w:t>噪声污染防治责任主体为建设单位。</w:t>
            </w:r>
          </w:p>
          <w:p w14:paraId="6BF1DD5D">
            <w:pPr>
              <w:adjustRightInd w:val="0"/>
              <w:snapToGrid w:val="0"/>
              <w:rPr>
                <w:b/>
                <w:bCs/>
                <w:spacing w:val="10"/>
                <w:u w:val="none"/>
              </w:rPr>
            </w:pPr>
            <w:r>
              <w:rPr>
                <w:b/>
                <w:bCs/>
                <w:spacing w:val="10"/>
                <w:u w:val="none"/>
              </w:rPr>
              <w:t>5.8运营期电磁污染防治措施</w:t>
            </w:r>
          </w:p>
          <w:p w14:paraId="4EF7E281">
            <w:pPr>
              <w:adjustRightInd w:val="0"/>
              <w:snapToGrid w:val="0"/>
              <w:ind w:firstLine="480" w:firstLineChars="200"/>
              <w:rPr>
                <w:u w:val="none"/>
              </w:rPr>
            </w:pPr>
            <w:r>
              <w:rPr>
                <w:u w:val="none"/>
              </w:rPr>
              <w:t>对产生大功率电磁振荡的设备采取必要的屏蔽措施，对机箱的孔、口、门缝的连接处采取密封措施。在设备</w:t>
            </w:r>
            <w:r>
              <w:rPr>
                <w:rFonts w:hint="eastAsia"/>
                <w:u w:val="none"/>
                <w:lang w:eastAsia="zh-CN"/>
              </w:rPr>
              <w:t>订货时</w:t>
            </w:r>
            <w:r>
              <w:rPr>
                <w:u w:val="none"/>
              </w:rPr>
              <w:t>应要求导线、母线、均压环、管母线终端球和</w:t>
            </w:r>
            <w:r>
              <w:rPr>
                <w:rFonts w:hint="eastAsia"/>
                <w:u w:val="none"/>
                <w:lang w:eastAsia="zh-CN"/>
              </w:rPr>
              <w:t>其他</w:t>
            </w:r>
            <w:r>
              <w:rPr>
                <w:u w:val="none"/>
              </w:rPr>
              <w:t>金具等提高加工工艺，防止尖端放电和起电晕，降低电磁影响。</w:t>
            </w:r>
          </w:p>
          <w:p w14:paraId="25A20F01">
            <w:pPr>
              <w:adjustRightInd w:val="0"/>
              <w:snapToGrid w:val="0"/>
              <w:ind w:firstLine="480" w:firstLineChars="200"/>
              <w:rPr>
                <w:u w:val="none"/>
              </w:rPr>
            </w:pPr>
            <w:r>
              <w:rPr>
                <w:rFonts w:hint="eastAsia"/>
                <w:u w:val="none"/>
              </w:rPr>
              <w:t>加强巡查和检查，对电磁</w:t>
            </w:r>
            <w:r>
              <w:rPr>
                <w:u w:val="none"/>
              </w:rPr>
              <w:t>环境</w:t>
            </w:r>
            <w:r>
              <w:rPr>
                <w:rFonts w:hint="eastAsia"/>
                <w:u w:val="none"/>
              </w:rPr>
              <w:t>进行</w:t>
            </w:r>
            <w:r>
              <w:rPr>
                <w:u w:val="none"/>
              </w:rPr>
              <w:t>监测</w:t>
            </w:r>
            <w:r>
              <w:rPr>
                <w:rFonts w:hint="eastAsia"/>
                <w:u w:val="none"/>
              </w:rPr>
              <w:t>，</w:t>
            </w:r>
            <w:r>
              <w:rPr>
                <w:u w:val="none"/>
              </w:rPr>
              <w:t>可选择有代表性的点</w:t>
            </w:r>
            <w:r>
              <w:rPr>
                <w:rFonts w:hint="eastAsia"/>
                <w:u w:val="none"/>
              </w:rPr>
              <w:t>如变电站四周与电磁</w:t>
            </w:r>
            <w:r>
              <w:rPr>
                <w:u w:val="none"/>
              </w:rPr>
              <w:t>环境敏感目标进行监测，</w:t>
            </w:r>
            <w:r>
              <w:rPr>
                <w:rFonts w:hint="eastAsia"/>
                <w:u w:val="none"/>
              </w:rPr>
              <w:t>确保监测值</w:t>
            </w:r>
            <w:r>
              <w:rPr>
                <w:u w:val="none"/>
              </w:rPr>
              <w:t>满足《</w:t>
            </w:r>
            <w:r>
              <w:rPr>
                <w:rFonts w:hint="eastAsia"/>
                <w:u w:val="none"/>
              </w:rPr>
              <w:t>电磁环境控制限值</w:t>
            </w:r>
            <w:r>
              <w:rPr>
                <w:u w:val="none"/>
              </w:rPr>
              <w:t>》（GB8702-2014）标准相关要求。</w:t>
            </w:r>
          </w:p>
          <w:p w14:paraId="1AE249A1">
            <w:pPr>
              <w:adjustRightInd w:val="0"/>
              <w:snapToGrid w:val="0"/>
              <w:ind w:firstLine="480" w:firstLineChars="200"/>
              <w:rPr>
                <w:u w:val="none"/>
              </w:rPr>
            </w:pPr>
            <w:r>
              <w:rPr>
                <w:u w:val="none"/>
              </w:rPr>
              <w:t>电磁污染防治责任主体为建设单位。</w:t>
            </w:r>
          </w:p>
          <w:p w14:paraId="4F3D7C04">
            <w:pPr>
              <w:adjustRightInd w:val="0"/>
              <w:snapToGrid w:val="0"/>
              <w:rPr>
                <w:b/>
                <w:bCs/>
                <w:u w:val="none"/>
              </w:rPr>
            </w:pPr>
            <w:r>
              <w:rPr>
                <w:b/>
                <w:bCs/>
                <w:spacing w:val="10"/>
                <w:u w:val="none"/>
              </w:rPr>
              <w:t>5.9运营期固体废物</w:t>
            </w:r>
            <w:r>
              <w:rPr>
                <w:b/>
                <w:bCs/>
                <w:u w:val="none"/>
              </w:rPr>
              <w:t>污染防治措施</w:t>
            </w:r>
          </w:p>
          <w:p w14:paraId="24259683">
            <w:pPr>
              <w:adjustRightInd w:val="0"/>
              <w:snapToGrid w:val="0"/>
              <w:ind w:firstLine="480" w:firstLineChars="200"/>
              <w:rPr>
                <w:u w:val="none"/>
              </w:rPr>
            </w:pPr>
            <w:r>
              <w:rPr>
                <w:u w:val="none"/>
                <w:lang w:bidi="ar"/>
              </w:rPr>
              <w:t>本项目无新增定员，无新增生活垃圾产生。现有工程生活垃圾经收集后交由环卫部门统一处理。</w:t>
            </w:r>
            <w:r>
              <w:rPr>
                <w:u w:val="none"/>
              </w:rPr>
              <w:t>本项目</w:t>
            </w:r>
            <w:r>
              <w:rPr>
                <w:rFonts w:hint="eastAsia"/>
                <w:u w:val="none"/>
              </w:rPr>
              <w:t>前期蓄电池是按终期考虑的</w:t>
            </w:r>
            <w:r>
              <w:rPr>
                <w:rFonts w:hint="eastAsia"/>
                <w:u w:val="none"/>
                <w:lang w:eastAsia="zh-CN"/>
              </w:rPr>
              <w:t>，</w:t>
            </w:r>
            <w:r>
              <w:rPr>
                <w:rFonts w:hint="eastAsia"/>
                <w:u w:val="none"/>
              </w:rPr>
              <w:t>本期无新增蓄电池</w:t>
            </w:r>
            <w:r>
              <w:rPr>
                <w:rFonts w:hint="eastAsia"/>
                <w:u w:val="none"/>
                <w:lang w:eastAsia="zh-CN"/>
              </w:rPr>
              <w:t>，</w:t>
            </w:r>
            <w:r>
              <w:rPr>
                <w:rFonts w:hint="eastAsia"/>
                <w:u w:val="none"/>
              </w:rPr>
              <w:t>也</w:t>
            </w:r>
            <w:r>
              <w:rPr>
                <w:rFonts w:hint="eastAsia"/>
                <w:u w:val="none"/>
                <w:lang w:val="en-US" w:eastAsia="zh-CN"/>
              </w:rPr>
              <w:t>不</w:t>
            </w:r>
            <w:r>
              <w:rPr>
                <w:rFonts w:hint="eastAsia"/>
                <w:u w:val="none"/>
              </w:rPr>
              <w:t>更换旧的蓄电池</w:t>
            </w:r>
            <w:r>
              <w:rPr>
                <w:u w:val="none"/>
              </w:rPr>
              <w:t>。事故状态下的废油交</w:t>
            </w:r>
            <w:r>
              <w:rPr>
                <w:rFonts w:hint="eastAsia"/>
                <w:u w:val="none"/>
                <w:lang w:val="en-US" w:eastAsia="zh-CN"/>
              </w:rPr>
              <w:t>由</w:t>
            </w:r>
            <w:r>
              <w:rPr>
                <w:rFonts w:hint="eastAsia"/>
                <w:u w:val="none"/>
              </w:rPr>
              <w:t>广西欣桂达环保科技有限公司</w:t>
            </w:r>
            <w:r>
              <w:rPr>
                <w:u w:val="none"/>
              </w:rPr>
              <w:t>按国家相关规定处理。</w:t>
            </w:r>
          </w:p>
          <w:p w14:paraId="3C84E563">
            <w:pPr>
              <w:adjustRightInd w:val="0"/>
              <w:snapToGrid w:val="0"/>
              <w:ind w:firstLine="480" w:firstLineChars="200"/>
              <w:rPr>
                <w:u w:val="none"/>
              </w:rPr>
            </w:pPr>
            <w:r>
              <w:rPr>
                <w:bCs/>
                <w:u w:val="none"/>
              </w:rPr>
              <w:t>固体废物污染防治责任主体为</w:t>
            </w:r>
            <w:r>
              <w:rPr>
                <w:u w:val="none"/>
              </w:rPr>
              <w:t>建设单位，资金来源为城市卫生费。</w:t>
            </w:r>
          </w:p>
          <w:p w14:paraId="75C13119">
            <w:pPr>
              <w:adjustRightInd w:val="0"/>
              <w:snapToGrid w:val="0"/>
              <w:rPr>
                <w:b/>
                <w:bCs/>
                <w:spacing w:val="10"/>
                <w:u w:val="none"/>
              </w:rPr>
            </w:pPr>
            <w:r>
              <w:rPr>
                <w:b/>
                <w:bCs/>
                <w:spacing w:val="10"/>
                <w:u w:val="none"/>
              </w:rPr>
              <w:t>5.10运营期环境风险防治措施</w:t>
            </w:r>
          </w:p>
          <w:p w14:paraId="45537386">
            <w:pPr>
              <w:adjustRightInd w:val="0"/>
              <w:snapToGrid w:val="0"/>
              <w:ind w:firstLine="480" w:firstLineChars="200"/>
              <w:rPr>
                <w:u w:val="none"/>
              </w:rPr>
            </w:pPr>
            <w:r>
              <w:rPr>
                <w:rFonts w:hint="eastAsia"/>
                <w:u w:val="none"/>
              </w:rPr>
              <w:t>220kV</w:t>
            </w:r>
            <w:r>
              <w:rPr>
                <w:rFonts w:hint="eastAsia"/>
                <w:u w:val="none"/>
                <w:lang w:val="en-US" w:eastAsia="zh-CN"/>
              </w:rPr>
              <w:t>果山</w:t>
            </w:r>
            <w:r>
              <w:rPr>
                <w:u w:val="none"/>
              </w:rPr>
              <w:t>变电站</w:t>
            </w:r>
            <w:r>
              <w:rPr>
                <w:rFonts w:hint="eastAsia"/>
                <w:u w:val="none"/>
                <w:lang w:val="en-US" w:eastAsia="zh-CN"/>
              </w:rPr>
              <w:t>依托前期已建65</w:t>
            </w:r>
            <w:r>
              <w:rPr>
                <w:u w:val="none"/>
              </w:rPr>
              <w:t>m</w:t>
            </w:r>
            <w:r>
              <w:rPr>
                <w:u w:val="none"/>
                <w:vertAlign w:val="superscript"/>
              </w:rPr>
              <w:t>3</w:t>
            </w:r>
            <w:r>
              <w:rPr>
                <w:u w:val="none"/>
              </w:rPr>
              <w:t>事故油池，一旦漏油及时处理，废油交</w:t>
            </w:r>
            <w:r>
              <w:rPr>
                <w:rFonts w:hint="eastAsia"/>
                <w:u w:val="none"/>
                <w:lang w:val="en-US" w:eastAsia="zh-CN"/>
              </w:rPr>
              <w:t>由</w:t>
            </w:r>
            <w:r>
              <w:rPr>
                <w:u w:val="none"/>
              </w:rPr>
              <w:t>有资质单位按国家相关规定处理。此外，加强维护，防止事故漏油。</w:t>
            </w:r>
          </w:p>
          <w:p w14:paraId="3FAD734E">
            <w:pPr>
              <w:adjustRightInd w:val="0"/>
              <w:snapToGrid w:val="0"/>
              <w:ind w:firstLine="480" w:firstLineChars="200"/>
              <w:rPr>
                <w:u w:val="none"/>
              </w:rPr>
            </w:pPr>
            <w:r>
              <w:rPr>
                <w:rFonts w:hint="eastAsia"/>
                <w:u w:val="none"/>
              </w:rPr>
              <w:t>污</w:t>
            </w:r>
            <w:r>
              <w:rPr>
                <w:u w:val="none"/>
              </w:rPr>
              <w:t>染防治责任主体为建设单位，资金来源为建筑工程（排油管</w:t>
            </w:r>
            <w:r>
              <w:rPr>
                <w:rFonts w:hint="eastAsia"/>
                <w:u w:val="none"/>
              </w:rPr>
              <w:t>、事故油池</w:t>
            </w:r>
            <w:r>
              <w:rPr>
                <w:u w:val="none"/>
              </w:rPr>
              <w:t>）。变压器事故排油时，首先排至主变油坑，再通过排油管排至事故油池，最终送至有危废处理资质单位处理。</w:t>
            </w:r>
          </w:p>
          <w:p w14:paraId="0A33E3FD">
            <w:pPr>
              <w:pStyle w:val="4"/>
              <w:adjustRightInd w:val="0"/>
              <w:snapToGrid w:val="0"/>
              <w:spacing w:before="0" w:after="0" w:line="360" w:lineRule="auto"/>
              <w:rPr>
                <w:rFonts w:cs="Times New Roman"/>
                <w:szCs w:val="24"/>
                <w:u w:val="none"/>
              </w:rPr>
            </w:pPr>
            <w:r>
              <w:rPr>
                <w:rFonts w:cs="Times New Roman"/>
                <w:szCs w:val="24"/>
                <w:u w:val="none"/>
              </w:rPr>
              <w:t>5.11环境监测计划</w:t>
            </w:r>
          </w:p>
          <w:p w14:paraId="5A626FF9">
            <w:pPr>
              <w:pStyle w:val="4"/>
              <w:adjustRightInd w:val="0"/>
              <w:snapToGrid w:val="0"/>
              <w:spacing w:before="0" w:after="0" w:line="360" w:lineRule="auto"/>
              <w:rPr>
                <w:rFonts w:cs="Times New Roman"/>
                <w:b w:val="0"/>
                <w:bCs w:val="0"/>
                <w:szCs w:val="24"/>
                <w:u w:val="none"/>
              </w:rPr>
            </w:pPr>
            <w:bookmarkStart w:id="65" w:name="_Toc195511706"/>
            <w:bookmarkStart w:id="66" w:name="_Toc160895958"/>
            <w:bookmarkStart w:id="67" w:name="_Toc176601049"/>
            <w:bookmarkStart w:id="68" w:name="_Toc192989919"/>
            <w:r>
              <w:rPr>
                <w:rFonts w:cs="Times New Roman"/>
                <w:b w:val="0"/>
                <w:bCs w:val="0"/>
                <w:szCs w:val="24"/>
                <w:u w:val="none"/>
              </w:rPr>
              <w:t>5.11.1电磁环境监测</w:t>
            </w:r>
            <w:bookmarkEnd w:id="65"/>
            <w:bookmarkEnd w:id="66"/>
            <w:bookmarkEnd w:id="67"/>
            <w:bookmarkEnd w:id="68"/>
          </w:p>
          <w:p w14:paraId="196BA070">
            <w:pPr>
              <w:adjustRightInd w:val="0"/>
              <w:snapToGrid w:val="0"/>
              <w:ind w:firstLine="480"/>
              <w:rPr>
                <w:u w:val="none"/>
              </w:rPr>
            </w:pPr>
            <w:r>
              <w:rPr>
                <w:u w:val="none"/>
              </w:rPr>
              <w:t>a）监测点位布置：变电站监测点布置在</w:t>
            </w:r>
            <w:r>
              <w:rPr>
                <w:rFonts w:hint="eastAsia"/>
                <w:u w:val="none"/>
              </w:rPr>
              <w:t>厂界</w:t>
            </w:r>
            <w:r>
              <w:rPr>
                <w:u w:val="none"/>
              </w:rPr>
              <w:t>处及</w:t>
            </w:r>
            <w:r>
              <w:rPr>
                <w:rFonts w:hint="eastAsia"/>
                <w:u w:val="none"/>
              </w:rPr>
              <w:t>电磁环境敏感目标</w:t>
            </w:r>
            <w:r>
              <w:rPr>
                <w:u w:val="none"/>
              </w:rPr>
              <w:t>。</w:t>
            </w:r>
          </w:p>
          <w:p w14:paraId="22A3A8A7">
            <w:pPr>
              <w:adjustRightInd w:val="0"/>
              <w:snapToGrid w:val="0"/>
              <w:ind w:firstLine="480"/>
              <w:rPr>
                <w:u w:val="none"/>
              </w:rPr>
            </w:pPr>
            <w:r>
              <w:rPr>
                <w:u w:val="none"/>
              </w:rPr>
              <w:t>b）监测项目：工频电场、工频磁场。</w:t>
            </w:r>
          </w:p>
          <w:p w14:paraId="5FE62BED">
            <w:pPr>
              <w:adjustRightInd w:val="0"/>
              <w:snapToGrid w:val="0"/>
              <w:ind w:firstLine="480"/>
              <w:rPr>
                <w:u w:val="none"/>
              </w:rPr>
            </w:pPr>
            <w:r>
              <w:rPr>
                <w:u w:val="none"/>
              </w:rPr>
              <w:t>c）工频电场、工频磁场监测按《交流输变电工程电磁环境监测方法（试行）》（HJ681—2013）中推荐的方法进行。</w:t>
            </w:r>
          </w:p>
          <w:p w14:paraId="6BB82CD8">
            <w:pPr>
              <w:adjustRightInd w:val="0"/>
              <w:snapToGrid w:val="0"/>
              <w:ind w:firstLine="480"/>
              <w:rPr>
                <w:u w:val="none"/>
              </w:rPr>
            </w:pPr>
            <w:r>
              <w:rPr>
                <w:u w:val="none"/>
              </w:rPr>
              <w:t>d）监测频次及时间：本工程正式投产进入常规运行阶段后结合工程竣工环境保护验收监测一次。</w:t>
            </w:r>
          </w:p>
          <w:p w14:paraId="51194F49">
            <w:pPr>
              <w:pStyle w:val="4"/>
              <w:adjustRightInd w:val="0"/>
              <w:snapToGrid w:val="0"/>
              <w:spacing w:before="0" w:after="0" w:line="360" w:lineRule="auto"/>
              <w:rPr>
                <w:rFonts w:cs="Times New Roman"/>
                <w:b w:val="0"/>
                <w:bCs w:val="0"/>
                <w:szCs w:val="24"/>
                <w:u w:val="none"/>
              </w:rPr>
            </w:pPr>
            <w:bookmarkStart w:id="69" w:name="_Toc192989920"/>
            <w:bookmarkStart w:id="70" w:name="_Toc176601050"/>
            <w:bookmarkStart w:id="71" w:name="_Toc160895959"/>
            <w:bookmarkStart w:id="72" w:name="_Toc195511707"/>
            <w:r>
              <w:rPr>
                <w:rFonts w:cs="Times New Roman"/>
                <w:b w:val="0"/>
                <w:bCs w:val="0"/>
                <w:szCs w:val="24"/>
                <w:u w:val="none"/>
              </w:rPr>
              <w:t>5.11.2噪声</w:t>
            </w:r>
            <w:bookmarkEnd w:id="69"/>
            <w:bookmarkEnd w:id="70"/>
            <w:bookmarkEnd w:id="71"/>
            <w:bookmarkEnd w:id="72"/>
          </w:p>
          <w:p w14:paraId="2D7C6673">
            <w:pPr>
              <w:adjustRightInd w:val="0"/>
              <w:snapToGrid w:val="0"/>
              <w:ind w:firstLine="480"/>
              <w:rPr>
                <w:u w:val="none"/>
              </w:rPr>
            </w:pPr>
            <w:r>
              <w:rPr>
                <w:u w:val="none"/>
              </w:rPr>
              <w:t>a）监测点位布置：变电站</w:t>
            </w:r>
            <w:r>
              <w:rPr>
                <w:rFonts w:hint="eastAsia"/>
                <w:u w:val="none"/>
              </w:rPr>
              <w:t>厂界</w:t>
            </w:r>
            <w:r>
              <w:rPr>
                <w:u w:val="none"/>
              </w:rPr>
              <w:t>处和</w:t>
            </w:r>
            <w:r>
              <w:rPr>
                <w:rFonts w:hint="eastAsia"/>
                <w:u w:val="none"/>
              </w:rPr>
              <w:t>声环境保护目标</w:t>
            </w:r>
            <w:r>
              <w:rPr>
                <w:u w:val="none"/>
              </w:rPr>
              <w:t>。</w:t>
            </w:r>
          </w:p>
          <w:p w14:paraId="4E7ABB4C">
            <w:pPr>
              <w:adjustRightInd w:val="0"/>
              <w:snapToGrid w:val="0"/>
              <w:ind w:firstLine="480"/>
              <w:rPr>
                <w:u w:val="none"/>
              </w:rPr>
            </w:pPr>
            <w:r>
              <w:rPr>
                <w:u w:val="none"/>
              </w:rPr>
              <w:t>b）监测项目：连续等效A声级。</w:t>
            </w:r>
          </w:p>
          <w:p w14:paraId="159FBC81">
            <w:pPr>
              <w:adjustRightInd w:val="0"/>
              <w:snapToGrid w:val="0"/>
              <w:ind w:firstLine="480"/>
              <w:rPr>
                <w:u w:val="none"/>
              </w:rPr>
            </w:pPr>
            <w:r>
              <w:rPr>
                <w:u w:val="none"/>
              </w:rPr>
              <w:t>c）监测方法：噪声按《声环境质量标准》（GB3096－2008）及《工业企业厂界环境噪声排放标准》（GB12348-2008）中的监测方法进行。</w:t>
            </w:r>
          </w:p>
          <w:p w14:paraId="318B23FC">
            <w:pPr>
              <w:adjustRightInd w:val="0"/>
              <w:snapToGrid w:val="0"/>
              <w:ind w:firstLine="480"/>
              <w:rPr>
                <w:u w:val="none"/>
              </w:rPr>
            </w:pPr>
            <w:r>
              <w:rPr>
                <w:u w:val="none"/>
              </w:rPr>
              <w:t>d）监测频次和时间：与电磁环境监测同时进行。</w:t>
            </w:r>
          </w:p>
          <w:p w14:paraId="42FA298A">
            <w:pPr>
              <w:pStyle w:val="30"/>
              <w:spacing w:before="72" w:after="120"/>
              <w:rPr>
                <w:sz w:val="24"/>
                <w:u w:val="none"/>
              </w:rPr>
            </w:pPr>
            <w:r>
              <w:rPr>
                <w:sz w:val="24"/>
                <w:u w:val="none"/>
              </w:rPr>
              <w:t>表5.11-1电磁环境、声环境监测计划要求一览表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158"/>
              <w:gridCol w:w="3687"/>
              <w:gridCol w:w="2822"/>
            </w:tblGrid>
            <w:tr w14:paraId="58AE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90" w:type="dxa"/>
                  <w:gridSpan w:val="2"/>
                  <w:vAlign w:val="center"/>
                </w:tcPr>
                <w:p w14:paraId="12D02BE9">
                  <w:pPr>
                    <w:pStyle w:val="30"/>
                    <w:spacing w:before="72" w:after="120"/>
                    <w:rPr>
                      <w:u w:val="none"/>
                    </w:rPr>
                  </w:pPr>
                  <w:r>
                    <w:rPr>
                      <w:u w:val="none"/>
                    </w:rPr>
                    <w:t>监测内容</w:t>
                  </w:r>
                </w:p>
              </w:tc>
              <w:tc>
                <w:tcPr>
                  <w:tcW w:w="3687" w:type="dxa"/>
                  <w:vAlign w:val="center"/>
                </w:tcPr>
                <w:p w14:paraId="46ED70B4">
                  <w:pPr>
                    <w:pStyle w:val="30"/>
                    <w:spacing w:before="72" w:after="120"/>
                    <w:rPr>
                      <w:u w:val="none"/>
                    </w:rPr>
                  </w:pPr>
                  <w:r>
                    <w:rPr>
                      <w:u w:val="none"/>
                    </w:rPr>
                    <w:t>监测布点</w:t>
                  </w:r>
                </w:p>
              </w:tc>
              <w:tc>
                <w:tcPr>
                  <w:tcW w:w="2822" w:type="dxa"/>
                  <w:vAlign w:val="center"/>
                </w:tcPr>
                <w:p w14:paraId="1DE34FEE">
                  <w:pPr>
                    <w:pStyle w:val="30"/>
                    <w:spacing w:before="72" w:after="120"/>
                    <w:rPr>
                      <w:u w:val="none"/>
                    </w:rPr>
                  </w:pPr>
                  <w:r>
                    <w:rPr>
                      <w:u w:val="none"/>
                    </w:rPr>
                    <w:t>监测时间及频次</w:t>
                  </w:r>
                </w:p>
              </w:tc>
            </w:tr>
            <w:tr w14:paraId="6A51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2" w:type="dxa"/>
                  <w:vMerge w:val="restart"/>
                  <w:vAlign w:val="center"/>
                </w:tcPr>
                <w:p w14:paraId="21B8DD8D">
                  <w:pPr>
                    <w:pStyle w:val="32"/>
                    <w:rPr>
                      <w:u w:val="none"/>
                    </w:rPr>
                  </w:pPr>
                  <w:r>
                    <w:rPr>
                      <w:u w:val="none"/>
                    </w:rPr>
                    <w:t>运行期</w:t>
                  </w:r>
                </w:p>
              </w:tc>
              <w:tc>
                <w:tcPr>
                  <w:tcW w:w="1158" w:type="dxa"/>
                  <w:vAlign w:val="center"/>
                </w:tcPr>
                <w:p w14:paraId="4F0EF3DA">
                  <w:pPr>
                    <w:pStyle w:val="32"/>
                    <w:rPr>
                      <w:u w:val="none"/>
                    </w:rPr>
                  </w:pPr>
                  <w:r>
                    <w:rPr>
                      <w:u w:val="none"/>
                    </w:rPr>
                    <w:t>工频电场</w:t>
                  </w:r>
                </w:p>
                <w:p w14:paraId="103371B0">
                  <w:pPr>
                    <w:pStyle w:val="32"/>
                    <w:rPr>
                      <w:u w:val="none"/>
                    </w:rPr>
                  </w:pPr>
                  <w:r>
                    <w:rPr>
                      <w:u w:val="none"/>
                    </w:rPr>
                    <w:t>工频磁场</w:t>
                  </w:r>
                </w:p>
              </w:tc>
              <w:tc>
                <w:tcPr>
                  <w:tcW w:w="3687" w:type="dxa"/>
                  <w:vAlign w:val="center"/>
                </w:tcPr>
                <w:p w14:paraId="73C92F77">
                  <w:pPr>
                    <w:pStyle w:val="32"/>
                    <w:rPr>
                      <w:u w:val="none"/>
                    </w:rPr>
                  </w:pPr>
                  <w:r>
                    <w:rPr>
                      <w:u w:val="none"/>
                    </w:rPr>
                    <w:t>变电站</w:t>
                  </w:r>
                  <w:r>
                    <w:rPr>
                      <w:rFonts w:hint="eastAsia"/>
                      <w:u w:val="none"/>
                      <w:lang w:eastAsia="zh-CN"/>
                    </w:rPr>
                    <w:t>厂界</w:t>
                  </w:r>
                  <w:r>
                    <w:rPr>
                      <w:u w:val="none"/>
                    </w:rPr>
                    <w:t>四周</w:t>
                  </w:r>
                  <w:r>
                    <w:rPr>
                      <w:rFonts w:hint="eastAsia"/>
                      <w:u w:val="none"/>
                      <w:lang w:val="en-US" w:eastAsia="zh-CN"/>
                    </w:rPr>
                    <w:t>及电磁环境敏感目标</w:t>
                  </w:r>
                </w:p>
              </w:tc>
              <w:tc>
                <w:tcPr>
                  <w:tcW w:w="2822" w:type="dxa"/>
                  <w:vAlign w:val="center"/>
                </w:tcPr>
                <w:p w14:paraId="4C4D15A5">
                  <w:pPr>
                    <w:pStyle w:val="32"/>
                    <w:rPr>
                      <w:u w:val="none"/>
                      <w:lang w:eastAsia="zh-CN"/>
                    </w:rPr>
                  </w:pPr>
                  <w:r>
                    <w:rPr>
                      <w:u w:val="none"/>
                      <w:lang w:eastAsia="zh-CN"/>
                    </w:rPr>
                    <w:t>本工程投产后结合竣工环境保护验收监测一次</w:t>
                  </w:r>
                </w:p>
              </w:tc>
            </w:tr>
            <w:tr w14:paraId="0A40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32" w:type="dxa"/>
                  <w:vMerge w:val="continue"/>
                  <w:vAlign w:val="center"/>
                </w:tcPr>
                <w:p w14:paraId="2D2A231F">
                  <w:pPr>
                    <w:pStyle w:val="32"/>
                    <w:rPr>
                      <w:u w:val="none"/>
                      <w:lang w:eastAsia="zh-CN"/>
                    </w:rPr>
                  </w:pPr>
                </w:p>
              </w:tc>
              <w:tc>
                <w:tcPr>
                  <w:tcW w:w="1158" w:type="dxa"/>
                  <w:vAlign w:val="center"/>
                </w:tcPr>
                <w:p w14:paraId="36872119">
                  <w:pPr>
                    <w:pStyle w:val="32"/>
                    <w:rPr>
                      <w:u w:val="none"/>
                    </w:rPr>
                  </w:pPr>
                  <w:r>
                    <w:rPr>
                      <w:u w:val="none"/>
                    </w:rPr>
                    <w:t>等效A声级</w:t>
                  </w:r>
                </w:p>
              </w:tc>
              <w:tc>
                <w:tcPr>
                  <w:tcW w:w="3687" w:type="dxa"/>
                  <w:vAlign w:val="center"/>
                </w:tcPr>
                <w:p w14:paraId="24BC401F">
                  <w:pPr>
                    <w:pStyle w:val="32"/>
                    <w:rPr>
                      <w:u w:val="none"/>
                      <w:lang w:eastAsia="zh-CN"/>
                    </w:rPr>
                  </w:pPr>
                  <w:r>
                    <w:rPr>
                      <w:u w:val="none"/>
                    </w:rPr>
                    <w:t>变电站</w:t>
                  </w:r>
                  <w:r>
                    <w:rPr>
                      <w:rFonts w:hint="eastAsia"/>
                      <w:u w:val="none"/>
                      <w:lang w:eastAsia="zh-CN"/>
                    </w:rPr>
                    <w:t>厂界</w:t>
                  </w:r>
                  <w:r>
                    <w:rPr>
                      <w:u w:val="none"/>
                    </w:rPr>
                    <w:t>四周</w:t>
                  </w:r>
                  <w:r>
                    <w:rPr>
                      <w:rFonts w:hint="eastAsia"/>
                      <w:u w:val="none"/>
                      <w:lang w:val="en-US" w:eastAsia="zh-CN"/>
                    </w:rPr>
                    <w:t>及声环境保护目标</w:t>
                  </w:r>
                </w:p>
              </w:tc>
              <w:tc>
                <w:tcPr>
                  <w:tcW w:w="2822" w:type="dxa"/>
                  <w:vAlign w:val="center"/>
                </w:tcPr>
                <w:p w14:paraId="72435F15">
                  <w:pPr>
                    <w:pStyle w:val="32"/>
                    <w:rPr>
                      <w:u w:val="none"/>
                      <w:lang w:eastAsia="zh-CN"/>
                    </w:rPr>
                  </w:pPr>
                  <w:r>
                    <w:rPr>
                      <w:u w:val="none"/>
                      <w:lang w:eastAsia="zh-CN"/>
                    </w:rPr>
                    <w:t>与电磁环境监测同时进行</w:t>
                  </w:r>
                </w:p>
              </w:tc>
            </w:tr>
          </w:tbl>
          <w:p w14:paraId="0EE966DE">
            <w:pPr>
              <w:adjustRightInd w:val="0"/>
              <w:snapToGrid w:val="0"/>
              <w:rPr>
                <w:bCs/>
                <w:spacing w:val="10"/>
                <w:u w:val="none"/>
              </w:rPr>
            </w:pPr>
          </w:p>
        </w:tc>
      </w:tr>
      <w:tr w14:paraId="39E5C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661" w:type="dxa"/>
            <w:vAlign w:val="center"/>
          </w:tcPr>
          <w:p w14:paraId="36E27729">
            <w:pPr>
              <w:adjustRightInd w:val="0"/>
              <w:snapToGrid w:val="0"/>
              <w:jc w:val="center"/>
              <w:rPr>
                <w:bCs/>
                <w:spacing w:val="10"/>
                <w:u w:val="none"/>
              </w:rPr>
            </w:pPr>
            <w:r>
              <w:rPr>
                <w:bCs/>
                <w:u w:val="none"/>
              </w:rPr>
              <w:t>其他</w:t>
            </w:r>
          </w:p>
        </w:tc>
        <w:tc>
          <w:tcPr>
            <w:tcW w:w="8358" w:type="dxa"/>
            <w:vAlign w:val="center"/>
          </w:tcPr>
          <w:p w14:paraId="570E6A10">
            <w:pPr>
              <w:adjustRightInd w:val="0"/>
              <w:snapToGrid w:val="0"/>
              <w:ind w:firstLine="480" w:firstLineChars="200"/>
              <w:jc w:val="center"/>
              <w:rPr>
                <w:bCs/>
                <w:spacing w:val="10"/>
                <w:u w:val="none"/>
              </w:rPr>
            </w:pPr>
            <w:r>
              <w:rPr>
                <w:rFonts w:hint="eastAsia"/>
                <w:bCs/>
                <w:u w:val="none"/>
              </w:rPr>
              <w:t>无</w:t>
            </w:r>
          </w:p>
        </w:tc>
      </w:tr>
      <w:tr w14:paraId="7A162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2" w:hRule="atLeast"/>
          <w:jc w:val="center"/>
        </w:trPr>
        <w:tc>
          <w:tcPr>
            <w:tcW w:w="661" w:type="dxa"/>
            <w:vAlign w:val="center"/>
          </w:tcPr>
          <w:p w14:paraId="0C7DB5FC">
            <w:pPr>
              <w:adjustRightInd w:val="0"/>
              <w:snapToGrid w:val="0"/>
              <w:jc w:val="center"/>
              <w:rPr>
                <w:bCs/>
                <w:spacing w:val="10"/>
                <w:u w:val="none"/>
              </w:rPr>
            </w:pPr>
            <w:r>
              <w:rPr>
                <w:bCs/>
                <w:u w:val="none"/>
              </w:rPr>
              <w:t>环保投资</w:t>
            </w:r>
          </w:p>
        </w:tc>
        <w:tc>
          <w:tcPr>
            <w:tcW w:w="8358" w:type="dxa"/>
          </w:tcPr>
          <w:p w14:paraId="5948734C">
            <w:pPr>
              <w:adjustRightInd w:val="0"/>
              <w:snapToGrid w:val="0"/>
              <w:rPr>
                <w:b/>
                <w:u w:val="none"/>
              </w:rPr>
            </w:pPr>
            <w:r>
              <w:rPr>
                <w:b/>
                <w:u w:val="none"/>
              </w:rPr>
              <w:t>5.</w:t>
            </w:r>
            <w:r>
              <w:rPr>
                <w:rFonts w:hint="eastAsia"/>
                <w:b/>
                <w:u w:val="none"/>
              </w:rPr>
              <w:t>12</w:t>
            </w:r>
            <w:r>
              <w:rPr>
                <w:b/>
                <w:u w:val="none"/>
              </w:rPr>
              <w:t>环保投资</w:t>
            </w:r>
          </w:p>
          <w:p w14:paraId="32B3D158">
            <w:pPr>
              <w:adjustRightInd w:val="0"/>
              <w:snapToGrid w:val="0"/>
              <w:ind w:firstLine="480"/>
              <w:rPr>
                <w:u w:val="none"/>
              </w:rPr>
            </w:pPr>
            <w:r>
              <w:rPr>
                <w:u w:val="none"/>
              </w:rPr>
              <w:t>本工程总投资为</w:t>
            </w:r>
            <w:r>
              <w:rPr>
                <w:rFonts w:hint="eastAsia"/>
                <w:u w:val="none"/>
              </w:rPr>
              <w:t>2261</w:t>
            </w:r>
            <w:r>
              <w:rPr>
                <w:u w:val="none"/>
              </w:rPr>
              <w:t>万元，其中环保投资为</w:t>
            </w:r>
            <w:r>
              <w:rPr>
                <w:rFonts w:hint="eastAsia"/>
                <w:u w:val="none"/>
              </w:rPr>
              <w:t>44.5</w:t>
            </w:r>
            <w:r>
              <w:rPr>
                <w:u w:val="none"/>
              </w:rPr>
              <w:t>万元，占工程总投资1.</w:t>
            </w:r>
            <w:r>
              <w:rPr>
                <w:rFonts w:hint="eastAsia"/>
                <w:u w:val="none"/>
                <w:lang w:val="en-US" w:eastAsia="zh-CN"/>
              </w:rPr>
              <w:t>9</w:t>
            </w:r>
            <w:r>
              <w:rPr>
                <w:u w:val="none"/>
              </w:rPr>
              <w:t>%。本工程环保投资估算见表5-12-1。</w:t>
            </w:r>
          </w:p>
          <w:p w14:paraId="6AE13753">
            <w:pPr>
              <w:widowControl/>
              <w:adjustRightInd w:val="0"/>
              <w:snapToGrid w:val="0"/>
              <w:jc w:val="center"/>
              <w:rPr>
                <w:b/>
                <w:bCs/>
                <w:szCs w:val="21"/>
                <w:u w:val="none"/>
                <w:lang w:val="zh-CN"/>
              </w:rPr>
            </w:pPr>
            <w:r>
              <w:rPr>
                <w:u w:val="none"/>
              </w:rPr>
              <w:t>表5-1</w:t>
            </w:r>
            <w:r>
              <w:rPr>
                <w:rFonts w:hint="eastAsia"/>
                <w:u w:val="none"/>
              </w:rPr>
              <w:t>2</w:t>
            </w:r>
            <w:r>
              <w:rPr>
                <w:u w:val="none"/>
              </w:rPr>
              <w:t>-1环境投资估算</w:t>
            </w:r>
            <w:r>
              <w:rPr>
                <w:b/>
                <w:bCs/>
                <w:szCs w:val="21"/>
                <w:u w:val="none"/>
                <w:lang w:val="zh-CN"/>
              </w:rPr>
              <w:t>表</w:t>
            </w:r>
          </w:p>
          <w:tbl>
            <w:tblPr>
              <w:tblStyle w:val="19"/>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58"/>
              <w:gridCol w:w="1369"/>
              <w:gridCol w:w="2069"/>
            </w:tblGrid>
            <w:tr w14:paraId="68C6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55" w:type="pct"/>
                  <w:vAlign w:val="center"/>
                </w:tcPr>
                <w:p w14:paraId="3E758293">
                  <w:pPr>
                    <w:adjustRightInd w:val="0"/>
                    <w:snapToGrid w:val="0"/>
                    <w:spacing w:line="240" w:lineRule="auto"/>
                    <w:jc w:val="center"/>
                    <w:rPr>
                      <w:b/>
                      <w:sz w:val="21"/>
                      <w:szCs w:val="21"/>
                      <w:u w:val="none"/>
                    </w:rPr>
                  </w:pPr>
                  <w:r>
                    <w:rPr>
                      <w:b/>
                      <w:sz w:val="21"/>
                      <w:szCs w:val="21"/>
                      <w:u w:val="none"/>
                    </w:rPr>
                    <w:t>序号</w:t>
                  </w:r>
                </w:p>
              </w:tc>
              <w:tc>
                <w:tcPr>
                  <w:tcW w:w="2431" w:type="pct"/>
                  <w:vAlign w:val="center"/>
                </w:tcPr>
                <w:p w14:paraId="53D7F7DF">
                  <w:pPr>
                    <w:adjustRightInd w:val="0"/>
                    <w:snapToGrid w:val="0"/>
                    <w:spacing w:line="240" w:lineRule="auto"/>
                    <w:jc w:val="center"/>
                    <w:rPr>
                      <w:b/>
                      <w:sz w:val="21"/>
                      <w:szCs w:val="21"/>
                      <w:u w:val="none"/>
                    </w:rPr>
                  </w:pPr>
                  <w:r>
                    <w:rPr>
                      <w:b/>
                      <w:sz w:val="21"/>
                      <w:szCs w:val="21"/>
                      <w:u w:val="none"/>
                    </w:rPr>
                    <w:t>项目名称</w:t>
                  </w:r>
                </w:p>
              </w:tc>
              <w:tc>
                <w:tcPr>
                  <w:tcW w:w="841" w:type="pct"/>
                  <w:vAlign w:val="center"/>
                </w:tcPr>
                <w:p w14:paraId="6A90C8D1">
                  <w:pPr>
                    <w:adjustRightInd w:val="0"/>
                    <w:snapToGrid w:val="0"/>
                    <w:spacing w:line="240" w:lineRule="auto"/>
                    <w:jc w:val="center"/>
                    <w:rPr>
                      <w:b/>
                      <w:sz w:val="21"/>
                      <w:szCs w:val="21"/>
                      <w:u w:val="none"/>
                    </w:rPr>
                  </w:pPr>
                  <w:r>
                    <w:rPr>
                      <w:b/>
                      <w:sz w:val="21"/>
                      <w:szCs w:val="21"/>
                      <w:u w:val="none"/>
                    </w:rPr>
                    <w:t>费用（万元）</w:t>
                  </w:r>
                </w:p>
              </w:tc>
              <w:tc>
                <w:tcPr>
                  <w:tcW w:w="1271" w:type="pct"/>
                  <w:vAlign w:val="center"/>
                </w:tcPr>
                <w:p w14:paraId="72F346A1">
                  <w:pPr>
                    <w:adjustRightInd w:val="0"/>
                    <w:snapToGrid w:val="0"/>
                    <w:spacing w:line="240" w:lineRule="auto"/>
                    <w:jc w:val="center"/>
                    <w:rPr>
                      <w:b/>
                      <w:sz w:val="21"/>
                      <w:szCs w:val="21"/>
                      <w:u w:val="none"/>
                    </w:rPr>
                  </w:pPr>
                  <w:r>
                    <w:rPr>
                      <w:b/>
                      <w:sz w:val="21"/>
                      <w:szCs w:val="21"/>
                      <w:u w:val="none"/>
                    </w:rPr>
                    <w:t>资金来源</w:t>
                  </w:r>
                </w:p>
              </w:tc>
            </w:tr>
            <w:tr w14:paraId="5146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5" w:type="pct"/>
                  <w:vAlign w:val="center"/>
                </w:tcPr>
                <w:p w14:paraId="413A5B9B">
                  <w:pPr>
                    <w:adjustRightInd w:val="0"/>
                    <w:snapToGrid w:val="0"/>
                    <w:spacing w:line="240" w:lineRule="auto"/>
                    <w:jc w:val="center"/>
                    <w:rPr>
                      <w:sz w:val="21"/>
                      <w:szCs w:val="21"/>
                      <w:u w:val="none"/>
                    </w:rPr>
                  </w:pPr>
                  <w:r>
                    <w:rPr>
                      <w:sz w:val="21"/>
                      <w:szCs w:val="21"/>
                      <w:u w:val="none"/>
                    </w:rPr>
                    <w:t>1</w:t>
                  </w:r>
                </w:p>
              </w:tc>
              <w:tc>
                <w:tcPr>
                  <w:tcW w:w="2431" w:type="pct"/>
                  <w:vAlign w:val="center"/>
                </w:tcPr>
                <w:p w14:paraId="609FB4CB">
                  <w:pPr>
                    <w:adjustRightInd w:val="0"/>
                    <w:snapToGrid w:val="0"/>
                    <w:spacing w:line="240" w:lineRule="auto"/>
                    <w:jc w:val="center"/>
                    <w:rPr>
                      <w:sz w:val="21"/>
                      <w:szCs w:val="21"/>
                      <w:u w:val="none"/>
                    </w:rPr>
                  </w:pPr>
                  <w:r>
                    <w:rPr>
                      <w:sz w:val="21"/>
                      <w:szCs w:val="21"/>
                      <w:u w:val="none"/>
                    </w:rPr>
                    <w:t>扬尘控制措施（洒水作业、篷布苫盖）</w:t>
                  </w:r>
                </w:p>
              </w:tc>
              <w:tc>
                <w:tcPr>
                  <w:tcW w:w="841" w:type="pct"/>
                  <w:vAlign w:val="center"/>
                </w:tcPr>
                <w:p w14:paraId="4F9FFE77">
                  <w:pPr>
                    <w:adjustRightInd w:val="0"/>
                    <w:snapToGrid w:val="0"/>
                    <w:spacing w:line="240" w:lineRule="auto"/>
                    <w:jc w:val="center"/>
                    <w:rPr>
                      <w:rFonts w:hint="eastAsia" w:eastAsia="宋体"/>
                      <w:sz w:val="21"/>
                      <w:szCs w:val="21"/>
                      <w:u w:val="none"/>
                      <w:lang w:eastAsia="zh-CN"/>
                    </w:rPr>
                  </w:pPr>
                  <w:r>
                    <w:rPr>
                      <w:rFonts w:hint="eastAsia"/>
                      <w:sz w:val="21"/>
                      <w:szCs w:val="21"/>
                      <w:u w:val="none"/>
                      <w:lang w:val="en-US" w:eastAsia="zh-CN"/>
                    </w:rPr>
                    <w:t>3</w:t>
                  </w:r>
                </w:p>
              </w:tc>
              <w:tc>
                <w:tcPr>
                  <w:tcW w:w="1271" w:type="pct"/>
                  <w:vMerge w:val="restart"/>
                  <w:vAlign w:val="center"/>
                </w:tcPr>
                <w:p w14:paraId="10B4A72F">
                  <w:pPr>
                    <w:adjustRightInd w:val="0"/>
                    <w:snapToGrid w:val="0"/>
                    <w:spacing w:line="240" w:lineRule="auto"/>
                    <w:jc w:val="center"/>
                    <w:rPr>
                      <w:sz w:val="21"/>
                      <w:szCs w:val="21"/>
                      <w:u w:val="none"/>
                    </w:rPr>
                  </w:pPr>
                  <w:r>
                    <w:rPr>
                      <w:sz w:val="21"/>
                      <w:szCs w:val="21"/>
                      <w:u w:val="none"/>
                    </w:rPr>
                    <w:t>建筑工程（安全文明施工）费</w:t>
                  </w:r>
                </w:p>
              </w:tc>
            </w:tr>
            <w:tr w14:paraId="483E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5" w:type="pct"/>
                  <w:vAlign w:val="center"/>
                </w:tcPr>
                <w:p w14:paraId="725DF32D">
                  <w:pPr>
                    <w:adjustRightInd w:val="0"/>
                    <w:snapToGrid w:val="0"/>
                    <w:spacing w:line="240" w:lineRule="auto"/>
                    <w:jc w:val="center"/>
                    <w:rPr>
                      <w:sz w:val="21"/>
                      <w:szCs w:val="21"/>
                      <w:u w:val="none"/>
                    </w:rPr>
                  </w:pPr>
                  <w:r>
                    <w:rPr>
                      <w:sz w:val="21"/>
                      <w:szCs w:val="21"/>
                      <w:u w:val="none"/>
                    </w:rPr>
                    <w:t>2</w:t>
                  </w:r>
                </w:p>
              </w:tc>
              <w:tc>
                <w:tcPr>
                  <w:tcW w:w="2431" w:type="pct"/>
                  <w:vAlign w:val="center"/>
                </w:tcPr>
                <w:p w14:paraId="7522AAC7">
                  <w:pPr>
                    <w:adjustRightInd w:val="0"/>
                    <w:snapToGrid w:val="0"/>
                    <w:spacing w:line="240" w:lineRule="auto"/>
                    <w:jc w:val="center"/>
                    <w:rPr>
                      <w:sz w:val="21"/>
                      <w:szCs w:val="21"/>
                      <w:u w:val="none"/>
                    </w:rPr>
                  </w:pPr>
                  <w:r>
                    <w:rPr>
                      <w:sz w:val="21"/>
                      <w:szCs w:val="21"/>
                      <w:u w:val="none"/>
                    </w:rPr>
                    <w:t>施工期临时防护措施</w:t>
                  </w:r>
                </w:p>
              </w:tc>
              <w:tc>
                <w:tcPr>
                  <w:tcW w:w="841" w:type="pct"/>
                  <w:vAlign w:val="center"/>
                </w:tcPr>
                <w:p w14:paraId="1E165345">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2.7</w:t>
                  </w:r>
                </w:p>
              </w:tc>
              <w:tc>
                <w:tcPr>
                  <w:tcW w:w="1271" w:type="pct"/>
                  <w:vMerge w:val="continue"/>
                  <w:vAlign w:val="center"/>
                </w:tcPr>
                <w:p w14:paraId="521EF2B2">
                  <w:pPr>
                    <w:adjustRightInd w:val="0"/>
                    <w:snapToGrid w:val="0"/>
                    <w:spacing w:line="240" w:lineRule="auto"/>
                    <w:jc w:val="center"/>
                    <w:rPr>
                      <w:sz w:val="21"/>
                      <w:szCs w:val="21"/>
                      <w:u w:val="none"/>
                    </w:rPr>
                  </w:pPr>
                </w:p>
              </w:tc>
            </w:tr>
            <w:tr w14:paraId="7479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2" w:type="dxa"/>
                  <w:vAlign w:val="center"/>
                </w:tcPr>
                <w:p w14:paraId="23A6A440">
                  <w:pPr>
                    <w:adjustRightInd w:val="0"/>
                    <w:snapToGrid w:val="0"/>
                    <w:spacing w:line="240" w:lineRule="auto"/>
                    <w:jc w:val="center"/>
                    <w:rPr>
                      <w:sz w:val="21"/>
                      <w:szCs w:val="21"/>
                      <w:u w:val="none"/>
                    </w:rPr>
                  </w:pPr>
                  <w:r>
                    <w:rPr>
                      <w:rFonts w:hint="eastAsia"/>
                      <w:sz w:val="21"/>
                      <w:szCs w:val="21"/>
                      <w:u w:val="none"/>
                    </w:rPr>
                    <w:t>3</w:t>
                  </w:r>
                </w:p>
              </w:tc>
              <w:tc>
                <w:tcPr>
                  <w:tcW w:w="2431" w:type="pct"/>
                  <w:vAlign w:val="center"/>
                </w:tcPr>
                <w:p w14:paraId="6E3E7221">
                  <w:pPr>
                    <w:adjustRightInd w:val="0"/>
                    <w:snapToGrid w:val="0"/>
                    <w:spacing w:line="240" w:lineRule="auto"/>
                    <w:jc w:val="center"/>
                    <w:rPr>
                      <w:sz w:val="21"/>
                      <w:szCs w:val="21"/>
                      <w:u w:val="none"/>
                    </w:rPr>
                  </w:pPr>
                  <w:r>
                    <w:rPr>
                      <w:sz w:val="21"/>
                      <w:szCs w:val="21"/>
                      <w:u w:val="none"/>
                    </w:rPr>
                    <w:t>施工期</w:t>
                  </w:r>
                  <w:r>
                    <w:rPr>
                      <w:rFonts w:hint="eastAsia"/>
                      <w:sz w:val="21"/>
                      <w:szCs w:val="21"/>
                      <w:u w:val="none"/>
                      <w:lang w:val="en-US" w:eastAsia="zh-CN"/>
                    </w:rPr>
                    <w:t>水环境保护</w:t>
                  </w:r>
                  <w:r>
                    <w:rPr>
                      <w:sz w:val="21"/>
                      <w:szCs w:val="21"/>
                      <w:u w:val="none"/>
                    </w:rPr>
                    <w:t>措施</w:t>
                  </w:r>
                </w:p>
              </w:tc>
              <w:tc>
                <w:tcPr>
                  <w:tcW w:w="841" w:type="pct"/>
                  <w:vAlign w:val="center"/>
                </w:tcPr>
                <w:p w14:paraId="6ABB8773">
                  <w:pPr>
                    <w:adjustRightInd w:val="0"/>
                    <w:snapToGrid w:val="0"/>
                    <w:spacing w:line="240" w:lineRule="auto"/>
                    <w:jc w:val="center"/>
                    <w:rPr>
                      <w:rFonts w:hint="default"/>
                      <w:sz w:val="21"/>
                      <w:szCs w:val="21"/>
                      <w:u w:val="none"/>
                      <w:lang w:val="en-US" w:eastAsia="zh-CN"/>
                    </w:rPr>
                  </w:pPr>
                  <w:r>
                    <w:rPr>
                      <w:rFonts w:hint="eastAsia"/>
                      <w:sz w:val="21"/>
                      <w:szCs w:val="21"/>
                      <w:u w:val="none"/>
                      <w:lang w:val="en-US" w:eastAsia="zh-CN"/>
                    </w:rPr>
                    <w:t>2</w:t>
                  </w:r>
                </w:p>
              </w:tc>
              <w:tc>
                <w:tcPr>
                  <w:tcW w:w="1271" w:type="pct"/>
                  <w:vMerge w:val="continue"/>
                  <w:vAlign w:val="center"/>
                </w:tcPr>
                <w:p w14:paraId="7472ED36">
                  <w:pPr>
                    <w:adjustRightInd w:val="0"/>
                    <w:snapToGrid w:val="0"/>
                    <w:spacing w:line="240" w:lineRule="auto"/>
                    <w:jc w:val="center"/>
                    <w:rPr>
                      <w:sz w:val="21"/>
                      <w:szCs w:val="21"/>
                      <w:u w:val="none"/>
                    </w:rPr>
                  </w:pPr>
                </w:p>
              </w:tc>
            </w:tr>
            <w:tr w14:paraId="1870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2" w:type="dxa"/>
                  <w:vAlign w:val="center"/>
                </w:tcPr>
                <w:p w14:paraId="2336B7FE">
                  <w:pPr>
                    <w:adjustRightInd w:val="0"/>
                    <w:snapToGrid w:val="0"/>
                    <w:spacing w:line="240" w:lineRule="auto"/>
                    <w:jc w:val="center"/>
                    <w:rPr>
                      <w:sz w:val="21"/>
                      <w:szCs w:val="21"/>
                      <w:u w:val="none"/>
                    </w:rPr>
                  </w:pPr>
                  <w:r>
                    <w:rPr>
                      <w:sz w:val="21"/>
                      <w:szCs w:val="21"/>
                      <w:u w:val="none"/>
                    </w:rPr>
                    <w:t>4</w:t>
                  </w:r>
                </w:p>
              </w:tc>
              <w:tc>
                <w:tcPr>
                  <w:tcW w:w="2431" w:type="pct"/>
                  <w:vAlign w:val="center"/>
                </w:tcPr>
                <w:p w14:paraId="3383AD59">
                  <w:pPr>
                    <w:adjustRightInd w:val="0"/>
                    <w:snapToGrid w:val="0"/>
                    <w:spacing w:line="240" w:lineRule="auto"/>
                    <w:jc w:val="center"/>
                    <w:rPr>
                      <w:sz w:val="21"/>
                      <w:szCs w:val="21"/>
                      <w:u w:val="none"/>
                    </w:rPr>
                  </w:pPr>
                  <w:r>
                    <w:rPr>
                      <w:sz w:val="21"/>
                      <w:szCs w:val="21"/>
                      <w:u w:val="none"/>
                    </w:rPr>
                    <w:t>施工期</w:t>
                  </w:r>
                  <w:r>
                    <w:rPr>
                      <w:rFonts w:hint="eastAsia"/>
                      <w:sz w:val="21"/>
                      <w:szCs w:val="21"/>
                      <w:u w:val="none"/>
                      <w:lang w:val="en-US" w:eastAsia="zh-CN"/>
                    </w:rPr>
                    <w:t>固体废物保护</w:t>
                  </w:r>
                  <w:r>
                    <w:rPr>
                      <w:sz w:val="21"/>
                      <w:szCs w:val="21"/>
                      <w:u w:val="none"/>
                    </w:rPr>
                    <w:t>措施</w:t>
                  </w:r>
                </w:p>
              </w:tc>
              <w:tc>
                <w:tcPr>
                  <w:tcW w:w="841" w:type="pct"/>
                  <w:vAlign w:val="center"/>
                </w:tcPr>
                <w:p w14:paraId="18788630">
                  <w:pPr>
                    <w:adjustRightInd w:val="0"/>
                    <w:snapToGrid w:val="0"/>
                    <w:spacing w:line="240" w:lineRule="auto"/>
                    <w:jc w:val="center"/>
                    <w:rPr>
                      <w:rFonts w:hint="default"/>
                      <w:sz w:val="21"/>
                      <w:szCs w:val="21"/>
                      <w:u w:val="none"/>
                      <w:lang w:val="en-US" w:eastAsia="zh-CN"/>
                    </w:rPr>
                  </w:pPr>
                  <w:r>
                    <w:rPr>
                      <w:rFonts w:hint="eastAsia"/>
                      <w:sz w:val="21"/>
                      <w:szCs w:val="21"/>
                      <w:u w:val="none"/>
                      <w:lang w:val="en-US" w:eastAsia="zh-CN"/>
                    </w:rPr>
                    <w:t>2</w:t>
                  </w:r>
                </w:p>
              </w:tc>
              <w:tc>
                <w:tcPr>
                  <w:tcW w:w="1271" w:type="pct"/>
                  <w:vMerge w:val="continue"/>
                  <w:vAlign w:val="center"/>
                </w:tcPr>
                <w:p w14:paraId="002EA268">
                  <w:pPr>
                    <w:adjustRightInd w:val="0"/>
                    <w:snapToGrid w:val="0"/>
                    <w:spacing w:line="240" w:lineRule="auto"/>
                    <w:jc w:val="center"/>
                    <w:rPr>
                      <w:sz w:val="21"/>
                      <w:szCs w:val="21"/>
                      <w:u w:val="none"/>
                    </w:rPr>
                  </w:pPr>
                </w:p>
              </w:tc>
            </w:tr>
            <w:tr w14:paraId="227D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2" w:type="dxa"/>
                  <w:vAlign w:val="center"/>
                </w:tcPr>
                <w:p w14:paraId="2AFDCEA3">
                  <w:pPr>
                    <w:adjustRightInd w:val="0"/>
                    <w:snapToGrid w:val="0"/>
                    <w:spacing w:line="240" w:lineRule="auto"/>
                    <w:jc w:val="center"/>
                    <w:rPr>
                      <w:sz w:val="21"/>
                      <w:szCs w:val="21"/>
                      <w:u w:val="none"/>
                    </w:rPr>
                  </w:pPr>
                  <w:r>
                    <w:rPr>
                      <w:sz w:val="21"/>
                      <w:szCs w:val="21"/>
                      <w:u w:val="none"/>
                    </w:rPr>
                    <w:t>5</w:t>
                  </w:r>
                </w:p>
              </w:tc>
              <w:tc>
                <w:tcPr>
                  <w:tcW w:w="2431" w:type="pct"/>
                  <w:vAlign w:val="center"/>
                </w:tcPr>
                <w:p w14:paraId="5F931DA2">
                  <w:pPr>
                    <w:pStyle w:val="32"/>
                    <w:rPr>
                      <w:szCs w:val="21"/>
                      <w:u w:val="none"/>
                      <w:lang w:eastAsia="zh-CN"/>
                    </w:rPr>
                  </w:pPr>
                  <w:r>
                    <w:rPr>
                      <w:szCs w:val="21"/>
                      <w:u w:val="none"/>
                      <w:lang w:eastAsia="zh-CN"/>
                    </w:rPr>
                    <w:t>电气设备及导线减少电磁场措施（对机箱的孔、口、门缝的连接处采取密封措施；在设备的高压导电部件上设置不同形状和数量的均压环）</w:t>
                  </w:r>
                </w:p>
              </w:tc>
              <w:tc>
                <w:tcPr>
                  <w:tcW w:w="841" w:type="pct"/>
                  <w:vAlign w:val="center"/>
                </w:tcPr>
                <w:p w14:paraId="296AB037">
                  <w:pPr>
                    <w:adjustRightInd w:val="0"/>
                    <w:snapToGrid w:val="0"/>
                    <w:spacing w:line="240" w:lineRule="auto"/>
                    <w:jc w:val="center"/>
                    <w:rPr>
                      <w:sz w:val="21"/>
                      <w:szCs w:val="21"/>
                      <w:u w:val="none"/>
                    </w:rPr>
                  </w:pPr>
                  <w:r>
                    <w:rPr>
                      <w:rFonts w:hint="eastAsia"/>
                      <w:sz w:val="21"/>
                      <w:szCs w:val="21"/>
                      <w:u w:val="none"/>
                      <w:lang w:val="en-US" w:eastAsia="zh-CN"/>
                    </w:rPr>
                    <w:t>4</w:t>
                  </w:r>
                  <w:r>
                    <w:rPr>
                      <w:rFonts w:hint="eastAsia"/>
                      <w:sz w:val="21"/>
                      <w:szCs w:val="21"/>
                      <w:u w:val="none"/>
                    </w:rPr>
                    <w:t>.0</w:t>
                  </w:r>
                </w:p>
              </w:tc>
              <w:tc>
                <w:tcPr>
                  <w:tcW w:w="1271" w:type="pct"/>
                  <w:vAlign w:val="center"/>
                </w:tcPr>
                <w:p w14:paraId="4F440618">
                  <w:pPr>
                    <w:adjustRightInd w:val="0"/>
                    <w:snapToGrid w:val="0"/>
                    <w:spacing w:line="240" w:lineRule="auto"/>
                    <w:jc w:val="center"/>
                    <w:rPr>
                      <w:sz w:val="21"/>
                      <w:szCs w:val="21"/>
                      <w:u w:val="none"/>
                    </w:rPr>
                  </w:pPr>
                  <w:r>
                    <w:rPr>
                      <w:sz w:val="21"/>
                      <w:szCs w:val="21"/>
                      <w:u w:val="none"/>
                    </w:rPr>
                    <w:t>安装工程（装置性材料费）</w:t>
                  </w:r>
                </w:p>
              </w:tc>
            </w:tr>
            <w:tr w14:paraId="40B5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42" w:type="dxa"/>
                  <w:vAlign w:val="center"/>
                </w:tcPr>
                <w:p w14:paraId="71CC952B">
                  <w:pPr>
                    <w:adjustRightInd w:val="0"/>
                    <w:snapToGrid w:val="0"/>
                    <w:spacing w:line="240" w:lineRule="auto"/>
                    <w:jc w:val="center"/>
                    <w:rPr>
                      <w:sz w:val="21"/>
                      <w:szCs w:val="21"/>
                      <w:u w:val="none"/>
                    </w:rPr>
                  </w:pPr>
                  <w:r>
                    <w:rPr>
                      <w:rFonts w:hint="eastAsia"/>
                      <w:sz w:val="21"/>
                      <w:szCs w:val="21"/>
                      <w:u w:val="none"/>
                    </w:rPr>
                    <w:t>6</w:t>
                  </w:r>
                </w:p>
              </w:tc>
              <w:tc>
                <w:tcPr>
                  <w:tcW w:w="2431" w:type="pct"/>
                  <w:vAlign w:val="center"/>
                </w:tcPr>
                <w:p w14:paraId="0224EC87">
                  <w:pPr>
                    <w:adjustRightInd w:val="0"/>
                    <w:snapToGrid w:val="0"/>
                    <w:spacing w:line="240" w:lineRule="auto"/>
                    <w:jc w:val="center"/>
                    <w:rPr>
                      <w:sz w:val="21"/>
                      <w:szCs w:val="21"/>
                      <w:u w:val="none"/>
                    </w:rPr>
                  </w:pPr>
                  <w:r>
                    <w:rPr>
                      <w:sz w:val="21"/>
                      <w:szCs w:val="21"/>
                      <w:u w:val="none"/>
                    </w:rPr>
                    <w:t>站区绿化</w:t>
                  </w:r>
                </w:p>
              </w:tc>
              <w:tc>
                <w:tcPr>
                  <w:tcW w:w="841" w:type="pct"/>
                  <w:vAlign w:val="center"/>
                </w:tcPr>
                <w:p w14:paraId="2F865EB6">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2</w:t>
                  </w:r>
                </w:p>
              </w:tc>
              <w:tc>
                <w:tcPr>
                  <w:tcW w:w="1271" w:type="pct"/>
                  <w:vAlign w:val="center"/>
                </w:tcPr>
                <w:p w14:paraId="13CFEE28">
                  <w:pPr>
                    <w:adjustRightInd w:val="0"/>
                    <w:snapToGrid w:val="0"/>
                    <w:spacing w:line="240" w:lineRule="auto"/>
                    <w:jc w:val="center"/>
                    <w:rPr>
                      <w:sz w:val="21"/>
                      <w:szCs w:val="21"/>
                      <w:u w:val="none"/>
                    </w:rPr>
                  </w:pPr>
                  <w:r>
                    <w:rPr>
                      <w:sz w:val="21"/>
                      <w:szCs w:val="21"/>
                      <w:u w:val="none"/>
                    </w:rPr>
                    <w:t>建筑工程（绿化）费</w:t>
                  </w:r>
                </w:p>
              </w:tc>
            </w:tr>
            <w:tr w14:paraId="76C1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42" w:type="dxa"/>
                  <w:vAlign w:val="center"/>
                </w:tcPr>
                <w:p w14:paraId="321F641D">
                  <w:pPr>
                    <w:adjustRightInd w:val="0"/>
                    <w:snapToGrid w:val="0"/>
                    <w:spacing w:line="240" w:lineRule="auto"/>
                    <w:jc w:val="center"/>
                    <w:rPr>
                      <w:sz w:val="21"/>
                      <w:szCs w:val="21"/>
                      <w:u w:val="none"/>
                    </w:rPr>
                  </w:pPr>
                  <w:r>
                    <w:rPr>
                      <w:sz w:val="21"/>
                      <w:szCs w:val="21"/>
                      <w:u w:val="none"/>
                    </w:rPr>
                    <w:t>7</w:t>
                  </w:r>
                </w:p>
              </w:tc>
              <w:tc>
                <w:tcPr>
                  <w:tcW w:w="2431" w:type="pct"/>
                  <w:vAlign w:val="center"/>
                </w:tcPr>
                <w:p w14:paraId="33F814FF">
                  <w:pPr>
                    <w:adjustRightInd w:val="0"/>
                    <w:snapToGrid w:val="0"/>
                    <w:spacing w:line="240" w:lineRule="auto"/>
                    <w:jc w:val="center"/>
                    <w:rPr>
                      <w:sz w:val="21"/>
                      <w:szCs w:val="21"/>
                      <w:u w:val="none"/>
                    </w:rPr>
                  </w:pPr>
                  <w:r>
                    <w:rPr>
                      <w:sz w:val="21"/>
                      <w:szCs w:val="21"/>
                      <w:u w:val="none"/>
                    </w:rPr>
                    <w:t>变电站低噪声设备</w:t>
                  </w:r>
                </w:p>
              </w:tc>
              <w:tc>
                <w:tcPr>
                  <w:tcW w:w="841" w:type="pct"/>
                  <w:vAlign w:val="center"/>
                </w:tcPr>
                <w:p w14:paraId="58BA8F2E">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7.0</w:t>
                  </w:r>
                </w:p>
              </w:tc>
              <w:tc>
                <w:tcPr>
                  <w:tcW w:w="1271" w:type="pct"/>
                  <w:vAlign w:val="center"/>
                </w:tcPr>
                <w:p w14:paraId="34F2ED55">
                  <w:pPr>
                    <w:adjustRightInd w:val="0"/>
                    <w:snapToGrid w:val="0"/>
                    <w:spacing w:line="240" w:lineRule="auto"/>
                    <w:jc w:val="center"/>
                    <w:rPr>
                      <w:sz w:val="21"/>
                      <w:szCs w:val="21"/>
                      <w:u w:val="none"/>
                    </w:rPr>
                  </w:pPr>
                  <w:r>
                    <w:rPr>
                      <w:sz w:val="21"/>
                      <w:szCs w:val="21"/>
                      <w:u w:val="none"/>
                    </w:rPr>
                    <w:t>安装工程（装置性材料费）</w:t>
                  </w:r>
                </w:p>
              </w:tc>
            </w:tr>
            <w:tr w14:paraId="6344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2" w:type="dxa"/>
                  <w:vAlign w:val="center"/>
                </w:tcPr>
                <w:p w14:paraId="01196CFA">
                  <w:pPr>
                    <w:adjustRightInd w:val="0"/>
                    <w:snapToGrid w:val="0"/>
                    <w:spacing w:line="240" w:lineRule="auto"/>
                    <w:jc w:val="center"/>
                    <w:rPr>
                      <w:sz w:val="21"/>
                      <w:szCs w:val="21"/>
                      <w:u w:val="none"/>
                    </w:rPr>
                  </w:pPr>
                  <w:r>
                    <w:rPr>
                      <w:sz w:val="21"/>
                      <w:szCs w:val="21"/>
                      <w:u w:val="none"/>
                    </w:rPr>
                    <w:t>8</w:t>
                  </w:r>
                </w:p>
              </w:tc>
              <w:tc>
                <w:tcPr>
                  <w:tcW w:w="2431" w:type="pct"/>
                  <w:vAlign w:val="center"/>
                </w:tcPr>
                <w:p w14:paraId="63DFA6BD">
                  <w:pPr>
                    <w:adjustRightInd w:val="0"/>
                    <w:snapToGrid w:val="0"/>
                    <w:spacing w:line="240" w:lineRule="auto"/>
                    <w:jc w:val="center"/>
                    <w:rPr>
                      <w:sz w:val="21"/>
                      <w:szCs w:val="21"/>
                      <w:u w:val="none"/>
                    </w:rPr>
                  </w:pPr>
                  <w:r>
                    <w:rPr>
                      <w:sz w:val="21"/>
                      <w:szCs w:val="21"/>
                      <w:u w:val="none"/>
                    </w:rPr>
                    <w:t>环境监测及环境保护验收费</w:t>
                  </w:r>
                </w:p>
              </w:tc>
              <w:tc>
                <w:tcPr>
                  <w:tcW w:w="841" w:type="pct"/>
                  <w:vAlign w:val="center"/>
                </w:tcPr>
                <w:p w14:paraId="5E98B7D5">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16.8</w:t>
                  </w:r>
                </w:p>
              </w:tc>
              <w:tc>
                <w:tcPr>
                  <w:tcW w:w="1271" w:type="pct"/>
                  <w:vMerge w:val="restart"/>
                  <w:vAlign w:val="center"/>
                </w:tcPr>
                <w:p w14:paraId="7311BF55">
                  <w:pPr>
                    <w:adjustRightInd w:val="0"/>
                    <w:snapToGrid w:val="0"/>
                    <w:spacing w:line="240" w:lineRule="auto"/>
                    <w:jc w:val="center"/>
                    <w:rPr>
                      <w:sz w:val="21"/>
                      <w:szCs w:val="21"/>
                      <w:u w:val="none"/>
                    </w:rPr>
                  </w:pPr>
                  <w:r>
                    <w:rPr>
                      <w:sz w:val="21"/>
                      <w:szCs w:val="21"/>
                      <w:u w:val="none"/>
                    </w:rPr>
                    <w:t>环境保护预列费</w:t>
                  </w:r>
                </w:p>
              </w:tc>
            </w:tr>
            <w:tr w14:paraId="7A27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2" w:type="dxa"/>
                  <w:vAlign w:val="center"/>
                </w:tcPr>
                <w:p w14:paraId="5900F24F">
                  <w:pPr>
                    <w:adjustRightInd w:val="0"/>
                    <w:snapToGrid w:val="0"/>
                    <w:spacing w:line="240" w:lineRule="auto"/>
                    <w:jc w:val="center"/>
                    <w:rPr>
                      <w:sz w:val="21"/>
                      <w:szCs w:val="21"/>
                      <w:u w:val="none"/>
                    </w:rPr>
                  </w:pPr>
                  <w:r>
                    <w:rPr>
                      <w:rFonts w:hint="eastAsia"/>
                      <w:sz w:val="21"/>
                      <w:szCs w:val="21"/>
                      <w:u w:val="none"/>
                    </w:rPr>
                    <w:t>9</w:t>
                  </w:r>
                </w:p>
              </w:tc>
              <w:tc>
                <w:tcPr>
                  <w:tcW w:w="2431" w:type="pct"/>
                  <w:vAlign w:val="center"/>
                </w:tcPr>
                <w:p w14:paraId="3170662B">
                  <w:pPr>
                    <w:adjustRightInd w:val="0"/>
                    <w:snapToGrid w:val="0"/>
                    <w:spacing w:line="240" w:lineRule="auto"/>
                    <w:jc w:val="center"/>
                    <w:rPr>
                      <w:sz w:val="21"/>
                      <w:szCs w:val="21"/>
                      <w:u w:val="none"/>
                    </w:rPr>
                  </w:pPr>
                  <w:r>
                    <w:rPr>
                      <w:rFonts w:hint="eastAsia"/>
                      <w:sz w:val="21"/>
                      <w:szCs w:val="21"/>
                      <w:u w:val="none"/>
                    </w:rPr>
                    <w:t>环境影响评价费</w:t>
                  </w:r>
                </w:p>
              </w:tc>
              <w:tc>
                <w:tcPr>
                  <w:tcW w:w="841" w:type="pct"/>
                  <w:vAlign w:val="center"/>
                </w:tcPr>
                <w:p w14:paraId="768F4EEE">
                  <w:pPr>
                    <w:adjustRightInd w:val="0"/>
                    <w:snapToGrid w:val="0"/>
                    <w:spacing w:line="240" w:lineRule="auto"/>
                    <w:jc w:val="center"/>
                    <w:rPr>
                      <w:sz w:val="21"/>
                      <w:szCs w:val="21"/>
                      <w:u w:val="none"/>
                    </w:rPr>
                  </w:pPr>
                  <w:r>
                    <w:rPr>
                      <w:rFonts w:hint="eastAsia"/>
                      <w:sz w:val="21"/>
                      <w:szCs w:val="21"/>
                      <w:u w:val="none"/>
                    </w:rPr>
                    <w:t>5.0</w:t>
                  </w:r>
                </w:p>
              </w:tc>
              <w:tc>
                <w:tcPr>
                  <w:tcW w:w="1271" w:type="pct"/>
                  <w:vMerge w:val="continue"/>
                  <w:vAlign w:val="center"/>
                </w:tcPr>
                <w:p w14:paraId="1255B8CB">
                  <w:pPr>
                    <w:adjustRightInd w:val="0"/>
                    <w:snapToGrid w:val="0"/>
                    <w:spacing w:line="240" w:lineRule="auto"/>
                    <w:jc w:val="center"/>
                    <w:rPr>
                      <w:sz w:val="21"/>
                      <w:szCs w:val="21"/>
                      <w:u w:val="none"/>
                    </w:rPr>
                  </w:pPr>
                </w:p>
              </w:tc>
            </w:tr>
            <w:tr w14:paraId="6873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2" w:type="dxa"/>
                  <w:vAlign w:val="center"/>
                </w:tcPr>
                <w:p w14:paraId="270D5592">
                  <w:pPr>
                    <w:adjustRightInd w:val="0"/>
                    <w:snapToGrid w:val="0"/>
                    <w:spacing w:line="240" w:lineRule="auto"/>
                    <w:jc w:val="center"/>
                    <w:rPr>
                      <w:sz w:val="21"/>
                      <w:szCs w:val="21"/>
                      <w:u w:val="none"/>
                    </w:rPr>
                  </w:pPr>
                  <w:r>
                    <w:rPr>
                      <w:sz w:val="21"/>
                      <w:szCs w:val="21"/>
                      <w:u w:val="none"/>
                    </w:rPr>
                    <w:t>1</w:t>
                  </w:r>
                  <w:r>
                    <w:rPr>
                      <w:rFonts w:hint="eastAsia"/>
                      <w:sz w:val="21"/>
                      <w:szCs w:val="21"/>
                      <w:u w:val="none"/>
                    </w:rPr>
                    <w:t>0</w:t>
                  </w:r>
                </w:p>
              </w:tc>
              <w:tc>
                <w:tcPr>
                  <w:tcW w:w="2431" w:type="pct"/>
                  <w:vAlign w:val="center"/>
                </w:tcPr>
                <w:p w14:paraId="35D8A59F">
                  <w:pPr>
                    <w:adjustRightInd w:val="0"/>
                    <w:snapToGrid w:val="0"/>
                    <w:spacing w:line="240" w:lineRule="auto"/>
                    <w:jc w:val="center"/>
                    <w:rPr>
                      <w:sz w:val="21"/>
                      <w:szCs w:val="21"/>
                      <w:u w:val="none"/>
                    </w:rPr>
                  </w:pPr>
                  <w:r>
                    <w:rPr>
                      <w:sz w:val="21"/>
                      <w:szCs w:val="21"/>
                      <w:u w:val="none"/>
                    </w:rPr>
                    <w:t>环保投资总计</w:t>
                  </w:r>
                </w:p>
              </w:tc>
              <w:tc>
                <w:tcPr>
                  <w:tcW w:w="841" w:type="pct"/>
                  <w:vAlign w:val="center"/>
                </w:tcPr>
                <w:p w14:paraId="56F26819">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44.5</w:t>
                  </w:r>
                </w:p>
              </w:tc>
              <w:tc>
                <w:tcPr>
                  <w:tcW w:w="1271" w:type="pct"/>
                  <w:vAlign w:val="center"/>
                </w:tcPr>
                <w:p w14:paraId="46A0A3E2">
                  <w:pPr>
                    <w:adjustRightInd w:val="0"/>
                    <w:snapToGrid w:val="0"/>
                    <w:spacing w:line="240" w:lineRule="auto"/>
                    <w:jc w:val="center"/>
                    <w:rPr>
                      <w:sz w:val="21"/>
                      <w:szCs w:val="21"/>
                      <w:u w:val="none"/>
                    </w:rPr>
                  </w:pPr>
                  <w:r>
                    <w:rPr>
                      <w:rFonts w:hint="eastAsia"/>
                      <w:sz w:val="21"/>
                      <w:szCs w:val="21"/>
                      <w:u w:val="none"/>
                    </w:rPr>
                    <w:t>/</w:t>
                  </w:r>
                </w:p>
              </w:tc>
            </w:tr>
            <w:tr w14:paraId="22F9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5" w:type="pct"/>
                  <w:vAlign w:val="center"/>
                </w:tcPr>
                <w:p w14:paraId="4FC42CB0">
                  <w:pPr>
                    <w:adjustRightInd w:val="0"/>
                    <w:snapToGrid w:val="0"/>
                    <w:spacing w:line="240" w:lineRule="auto"/>
                    <w:jc w:val="center"/>
                    <w:rPr>
                      <w:rFonts w:hint="default" w:eastAsia="宋体"/>
                      <w:sz w:val="21"/>
                      <w:szCs w:val="21"/>
                      <w:u w:val="none"/>
                      <w:lang w:val="en-US" w:eastAsia="zh-CN"/>
                    </w:rPr>
                  </w:pPr>
                  <w:r>
                    <w:rPr>
                      <w:rFonts w:hint="eastAsia"/>
                      <w:sz w:val="21"/>
                      <w:szCs w:val="21"/>
                      <w:u w:val="none"/>
                      <w:lang w:val="en-US" w:eastAsia="zh-CN"/>
                    </w:rPr>
                    <w:t>11</w:t>
                  </w:r>
                </w:p>
              </w:tc>
              <w:tc>
                <w:tcPr>
                  <w:tcW w:w="2431" w:type="pct"/>
                  <w:vAlign w:val="center"/>
                </w:tcPr>
                <w:p w14:paraId="3E2CB01E">
                  <w:pPr>
                    <w:adjustRightInd w:val="0"/>
                    <w:snapToGrid w:val="0"/>
                    <w:spacing w:line="240" w:lineRule="auto"/>
                    <w:jc w:val="center"/>
                    <w:rPr>
                      <w:sz w:val="21"/>
                      <w:szCs w:val="21"/>
                      <w:u w:val="none"/>
                    </w:rPr>
                  </w:pPr>
                  <w:r>
                    <w:rPr>
                      <w:sz w:val="21"/>
                      <w:szCs w:val="21"/>
                      <w:u w:val="none"/>
                    </w:rPr>
                    <w:t>工程总投资</w:t>
                  </w:r>
                </w:p>
              </w:tc>
              <w:tc>
                <w:tcPr>
                  <w:tcW w:w="841" w:type="pct"/>
                  <w:vAlign w:val="center"/>
                </w:tcPr>
                <w:p w14:paraId="43B3825A">
                  <w:pPr>
                    <w:adjustRightInd w:val="0"/>
                    <w:snapToGrid w:val="0"/>
                    <w:spacing w:line="240" w:lineRule="auto"/>
                    <w:jc w:val="center"/>
                    <w:rPr>
                      <w:sz w:val="21"/>
                      <w:szCs w:val="21"/>
                      <w:u w:val="none"/>
                    </w:rPr>
                  </w:pPr>
                  <w:r>
                    <w:rPr>
                      <w:rFonts w:hint="eastAsia"/>
                      <w:sz w:val="21"/>
                      <w:szCs w:val="21"/>
                      <w:u w:val="none"/>
                    </w:rPr>
                    <w:t>2261</w:t>
                  </w:r>
                </w:p>
              </w:tc>
              <w:tc>
                <w:tcPr>
                  <w:tcW w:w="1271" w:type="pct"/>
                  <w:vAlign w:val="center"/>
                </w:tcPr>
                <w:p w14:paraId="11746176">
                  <w:pPr>
                    <w:adjustRightInd w:val="0"/>
                    <w:snapToGrid w:val="0"/>
                    <w:spacing w:line="240" w:lineRule="auto"/>
                    <w:jc w:val="center"/>
                    <w:rPr>
                      <w:sz w:val="21"/>
                      <w:szCs w:val="21"/>
                      <w:u w:val="none"/>
                    </w:rPr>
                  </w:pPr>
                  <w:r>
                    <w:rPr>
                      <w:rFonts w:hint="eastAsia"/>
                      <w:sz w:val="21"/>
                      <w:szCs w:val="21"/>
                      <w:u w:val="none"/>
                    </w:rPr>
                    <w:t>/</w:t>
                  </w:r>
                </w:p>
              </w:tc>
            </w:tr>
            <w:tr w14:paraId="0E46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5" w:type="pct"/>
                  <w:vAlign w:val="center"/>
                </w:tcPr>
                <w:p w14:paraId="7113F0AE">
                  <w:pPr>
                    <w:adjustRightInd w:val="0"/>
                    <w:snapToGrid w:val="0"/>
                    <w:spacing w:line="240" w:lineRule="auto"/>
                    <w:jc w:val="center"/>
                    <w:rPr>
                      <w:rFonts w:hint="eastAsia" w:eastAsia="宋体"/>
                      <w:sz w:val="21"/>
                      <w:szCs w:val="21"/>
                      <w:u w:val="none"/>
                      <w:lang w:eastAsia="zh-CN"/>
                    </w:rPr>
                  </w:pPr>
                  <w:r>
                    <w:rPr>
                      <w:sz w:val="21"/>
                      <w:szCs w:val="21"/>
                      <w:u w:val="none"/>
                    </w:rPr>
                    <w:t>1</w:t>
                  </w:r>
                  <w:r>
                    <w:rPr>
                      <w:rFonts w:hint="eastAsia"/>
                      <w:sz w:val="21"/>
                      <w:szCs w:val="21"/>
                      <w:u w:val="none"/>
                      <w:lang w:val="en-US" w:eastAsia="zh-CN"/>
                    </w:rPr>
                    <w:t>2</w:t>
                  </w:r>
                </w:p>
              </w:tc>
              <w:tc>
                <w:tcPr>
                  <w:tcW w:w="2431" w:type="pct"/>
                  <w:vAlign w:val="center"/>
                </w:tcPr>
                <w:p w14:paraId="5A157A36">
                  <w:pPr>
                    <w:adjustRightInd w:val="0"/>
                    <w:snapToGrid w:val="0"/>
                    <w:spacing w:line="240" w:lineRule="auto"/>
                    <w:jc w:val="center"/>
                    <w:rPr>
                      <w:sz w:val="21"/>
                      <w:szCs w:val="21"/>
                      <w:u w:val="none"/>
                    </w:rPr>
                  </w:pPr>
                  <w:r>
                    <w:rPr>
                      <w:sz w:val="21"/>
                      <w:szCs w:val="21"/>
                      <w:u w:val="none"/>
                    </w:rPr>
                    <w:t>环保投资占总投资比例（%）</w:t>
                  </w:r>
                </w:p>
              </w:tc>
              <w:tc>
                <w:tcPr>
                  <w:tcW w:w="841" w:type="pct"/>
                  <w:vAlign w:val="center"/>
                </w:tcPr>
                <w:p w14:paraId="5276EA0F">
                  <w:pPr>
                    <w:adjustRightInd w:val="0"/>
                    <w:snapToGrid w:val="0"/>
                    <w:spacing w:line="240" w:lineRule="auto"/>
                    <w:jc w:val="center"/>
                    <w:rPr>
                      <w:rFonts w:hint="eastAsia" w:eastAsia="宋体"/>
                      <w:sz w:val="21"/>
                      <w:szCs w:val="21"/>
                      <w:u w:val="none"/>
                      <w:lang w:eastAsia="zh-CN"/>
                    </w:rPr>
                  </w:pPr>
                  <w:r>
                    <w:rPr>
                      <w:rFonts w:hint="eastAsia"/>
                      <w:sz w:val="21"/>
                      <w:szCs w:val="21"/>
                      <w:u w:val="none"/>
                    </w:rPr>
                    <w:t>1.</w:t>
                  </w:r>
                  <w:r>
                    <w:rPr>
                      <w:rFonts w:hint="eastAsia"/>
                      <w:sz w:val="21"/>
                      <w:szCs w:val="21"/>
                      <w:u w:val="none"/>
                      <w:lang w:val="en-US" w:eastAsia="zh-CN"/>
                    </w:rPr>
                    <w:t>9</w:t>
                  </w:r>
                </w:p>
              </w:tc>
              <w:tc>
                <w:tcPr>
                  <w:tcW w:w="1271" w:type="pct"/>
                  <w:vAlign w:val="center"/>
                </w:tcPr>
                <w:p w14:paraId="7AFB51B2">
                  <w:pPr>
                    <w:adjustRightInd w:val="0"/>
                    <w:snapToGrid w:val="0"/>
                    <w:spacing w:line="240" w:lineRule="auto"/>
                    <w:jc w:val="center"/>
                    <w:rPr>
                      <w:sz w:val="21"/>
                      <w:szCs w:val="21"/>
                      <w:u w:val="none"/>
                    </w:rPr>
                  </w:pPr>
                  <w:r>
                    <w:rPr>
                      <w:rFonts w:hint="eastAsia"/>
                      <w:sz w:val="21"/>
                      <w:szCs w:val="21"/>
                      <w:u w:val="none"/>
                    </w:rPr>
                    <w:t>/</w:t>
                  </w:r>
                </w:p>
              </w:tc>
            </w:tr>
          </w:tbl>
          <w:p w14:paraId="56B6BFAF">
            <w:pPr>
              <w:adjustRightInd w:val="0"/>
              <w:snapToGrid w:val="0"/>
              <w:rPr>
                <w:bCs/>
                <w:spacing w:val="10"/>
                <w:u w:val="none"/>
              </w:rPr>
            </w:pPr>
          </w:p>
        </w:tc>
      </w:tr>
    </w:tbl>
    <w:p w14:paraId="28B3DFB5">
      <w:pPr>
        <w:rPr>
          <w:u w:val="none"/>
        </w:rPr>
        <w:sectPr>
          <w:pgSz w:w="11907" w:h="16840"/>
          <w:pgMar w:top="1440" w:right="1797" w:bottom="1440" w:left="1797" w:header="851" w:footer="1077" w:gutter="0"/>
          <w:cols w:space="720" w:num="1"/>
          <w:docGrid w:linePitch="312" w:charSpace="0"/>
        </w:sectPr>
      </w:pPr>
    </w:p>
    <w:p w14:paraId="5EE2D4BE">
      <w:pPr>
        <w:pStyle w:val="2"/>
        <w:rPr>
          <w:u w:val="none"/>
        </w:rPr>
      </w:pPr>
      <w:bookmarkStart w:id="73" w:name="_Toc25161"/>
      <w:bookmarkStart w:id="74" w:name="_Toc31135"/>
      <w:bookmarkStart w:id="75" w:name="_Toc28239"/>
      <w:bookmarkStart w:id="76" w:name="_Toc21749"/>
      <w:r>
        <w:rPr>
          <w:rFonts w:hint="eastAsia"/>
          <w:u w:val="none"/>
        </w:rPr>
        <w:t>六、生态环境保护措施监督检查清单</w:t>
      </w:r>
      <w:bookmarkEnd w:id="73"/>
      <w:bookmarkEnd w:id="74"/>
      <w:bookmarkEnd w:id="75"/>
      <w:bookmarkEnd w:id="76"/>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062"/>
        <w:gridCol w:w="1995"/>
        <w:gridCol w:w="2005"/>
        <w:gridCol w:w="1389"/>
      </w:tblGrid>
      <w:tr w14:paraId="33773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Merge w:val="restart"/>
            <w:tcBorders>
              <w:tl2br w:val="single" w:color="auto" w:sz="4" w:space="0"/>
            </w:tcBorders>
          </w:tcPr>
          <w:p w14:paraId="11F42C4B">
            <w:pPr>
              <w:pStyle w:val="31"/>
              <w:rPr>
                <w:rFonts w:hint="eastAsia" w:eastAsia="宋体"/>
                <w:color w:val="auto"/>
                <w:u w:val="none"/>
                <w:lang w:val="en-US" w:eastAsia="zh-CN"/>
              </w:rPr>
            </w:pPr>
          </w:p>
          <w:p w14:paraId="3BD52919">
            <w:pPr>
              <w:pStyle w:val="31"/>
              <w:rPr>
                <w:color w:val="auto"/>
                <w:u w:val="none"/>
                <w:lang w:val="en-US"/>
              </w:rPr>
            </w:pPr>
            <w:r>
              <w:rPr>
                <w:color w:val="auto"/>
                <w:u w:val="none"/>
                <w:lang w:val="en-US"/>
              </w:rPr>
              <w:t>内容</w:t>
            </w:r>
          </w:p>
          <w:p w14:paraId="1B0A2516">
            <w:pPr>
              <w:pStyle w:val="31"/>
              <w:rPr>
                <w:rFonts w:hint="eastAsia" w:eastAsia="宋体"/>
                <w:color w:val="auto"/>
                <w:u w:val="none"/>
                <w:lang w:val="en-US" w:eastAsia="zh-CN"/>
              </w:rPr>
            </w:pPr>
          </w:p>
          <w:p w14:paraId="29C49703">
            <w:pPr>
              <w:pStyle w:val="31"/>
              <w:rPr>
                <w:color w:val="auto"/>
                <w:u w:val="none"/>
                <w:lang w:val="en-US"/>
              </w:rPr>
            </w:pPr>
          </w:p>
          <w:p w14:paraId="05336DA8">
            <w:pPr>
              <w:pStyle w:val="31"/>
              <w:jc w:val="both"/>
              <w:rPr>
                <w:color w:val="auto"/>
                <w:u w:val="none"/>
                <w:lang w:val="en-US"/>
              </w:rPr>
            </w:pPr>
            <w:r>
              <w:rPr>
                <w:color w:val="auto"/>
                <w:u w:val="none"/>
                <w:lang w:val="en-US"/>
              </w:rPr>
              <w:t>要素</w:t>
            </w:r>
          </w:p>
        </w:tc>
        <w:tc>
          <w:tcPr>
            <w:tcW w:w="4057" w:type="dxa"/>
            <w:gridSpan w:val="2"/>
            <w:vAlign w:val="center"/>
          </w:tcPr>
          <w:p w14:paraId="264834E8">
            <w:pPr>
              <w:pStyle w:val="31"/>
              <w:rPr>
                <w:color w:val="auto"/>
                <w:u w:val="none"/>
                <w:lang w:val="en-US"/>
              </w:rPr>
            </w:pPr>
            <w:r>
              <w:rPr>
                <w:color w:val="auto"/>
                <w:u w:val="none"/>
                <w:lang w:val="en-US"/>
              </w:rPr>
              <w:t>施工期</w:t>
            </w:r>
          </w:p>
        </w:tc>
        <w:tc>
          <w:tcPr>
            <w:tcW w:w="3394" w:type="dxa"/>
            <w:gridSpan w:val="2"/>
            <w:vAlign w:val="center"/>
          </w:tcPr>
          <w:p w14:paraId="292571AE">
            <w:pPr>
              <w:pStyle w:val="31"/>
              <w:rPr>
                <w:color w:val="auto"/>
                <w:u w:val="none"/>
                <w:lang w:val="en-US"/>
              </w:rPr>
            </w:pPr>
            <w:r>
              <w:rPr>
                <w:color w:val="auto"/>
                <w:u w:val="none"/>
                <w:lang w:val="en-US"/>
              </w:rPr>
              <w:t>运营期</w:t>
            </w:r>
          </w:p>
        </w:tc>
      </w:tr>
      <w:tr w14:paraId="55A65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Merge w:val="continue"/>
          </w:tcPr>
          <w:p w14:paraId="11D5A2D8">
            <w:pPr>
              <w:pStyle w:val="31"/>
              <w:rPr>
                <w:color w:val="auto"/>
                <w:u w:val="none"/>
                <w:lang w:val="en-US"/>
              </w:rPr>
            </w:pPr>
          </w:p>
        </w:tc>
        <w:tc>
          <w:tcPr>
            <w:tcW w:w="2062" w:type="dxa"/>
            <w:vAlign w:val="center"/>
          </w:tcPr>
          <w:p w14:paraId="660F2001">
            <w:pPr>
              <w:pStyle w:val="31"/>
              <w:rPr>
                <w:color w:val="auto"/>
                <w:u w:val="none"/>
                <w:lang w:val="en-US"/>
              </w:rPr>
            </w:pPr>
            <w:r>
              <w:rPr>
                <w:color w:val="auto"/>
                <w:u w:val="none"/>
                <w:lang w:val="en-US"/>
              </w:rPr>
              <w:t>环境保护措施</w:t>
            </w:r>
          </w:p>
        </w:tc>
        <w:tc>
          <w:tcPr>
            <w:tcW w:w="1995" w:type="dxa"/>
            <w:vAlign w:val="center"/>
          </w:tcPr>
          <w:p w14:paraId="5D8D539F">
            <w:pPr>
              <w:pStyle w:val="31"/>
              <w:rPr>
                <w:color w:val="auto"/>
                <w:u w:val="none"/>
                <w:lang w:val="en-US"/>
              </w:rPr>
            </w:pPr>
            <w:r>
              <w:rPr>
                <w:color w:val="auto"/>
                <w:u w:val="none"/>
                <w:lang w:val="en-US"/>
              </w:rPr>
              <w:t>验收要求</w:t>
            </w:r>
          </w:p>
        </w:tc>
        <w:tc>
          <w:tcPr>
            <w:tcW w:w="2005" w:type="dxa"/>
            <w:vAlign w:val="center"/>
          </w:tcPr>
          <w:p w14:paraId="4DFDAE6A">
            <w:pPr>
              <w:pStyle w:val="31"/>
              <w:rPr>
                <w:color w:val="auto"/>
                <w:u w:val="none"/>
                <w:lang w:val="en-US"/>
              </w:rPr>
            </w:pPr>
            <w:r>
              <w:rPr>
                <w:color w:val="auto"/>
                <w:u w:val="none"/>
                <w:lang w:val="en-US"/>
              </w:rPr>
              <w:t>环境保护措施</w:t>
            </w:r>
          </w:p>
        </w:tc>
        <w:tc>
          <w:tcPr>
            <w:tcW w:w="1389" w:type="dxa"/>
            <w:vAlign w:val="center"/>
          </w:tcPr>
          <w:p w14:paraId="730EA761">
            <w:pPr>
              <w:pStyle w:val="31"/>
              <w:rPr>
                <w:color w:val="auto"/>
                <w:u w:val="none"/>
                <w:lang w:val="en-US"/>
              </w:rPr>
            </w:pPr>
            <w:r>
              <w:rPr>
                <w:color w:val="auto"/>
                <w:u w:val="none"/>
                <w:lang w:val="en-US"/>
              </w:rPr>
              <w:t>验收要求</w:t>
            </w:r>
          </w:p>
        </w:tc>
      </w:tr>
      <w:tr w14:paraId="4D5E0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0ACCAD0D">
            <w:pPr>
              <w:pStyle w:val="32"/>
              <w:rPr>
                <w:szCs w:val="21"/>
                <w:u w:val="none"/>
              </w:rPr>
            </w:pPr>
            <w:r>
              <w:rPr>
                <w:szCs w:val="21"/>
                <w:u w:val="none"/>
              </w:rPr>
              <w:t>陆生生态</w:t>
            </w:r>
          </w:p>
        </w:tc>
        <w:tc>
          <w:tcPr>
            <w:tcW w:w="2062" w:type="dxa"/>
            <w:vAlign w:val="center"/>
          </w:tcPr>
          <w:p w14:paraId="5AEDB6C3">
            <w:pPr>
              <w:adjustRightInd w:val="0"/>
              <w:snapToGrid w:val="0"/>
              <w:spacing w:line="240" w:lineRule="auto"/>
              <w:rPr>
                <w:sz w:val="21"/>
                <w:szCs w:val="21"/>
                <w:u w:val="none"/>
              </w:rPr>
            </w:pPr>
            <w:r>
              <w:rPr>
                <w:sz w:val="21"/>
                <w:szCs w:val="21"/>
                <w:u w:val="none"/>
              </w:rPr>
              <w:t>合理组织施工，严格按设计占地面积、样式要求开挖，避免大规模开挖；做好堆土拦挡、苫盖并回填利用。</w:t>
            </w:r>
          </w:p>
        </w:tc>
        <w:tc>
          <w:tcPr>
            <w:tcW w:w="1995" w:type="dxa"/>
            <w:vAlign w:val="center"/>
          </w:tcPr>
          <w:p w14:paraId="1D3954E9">
            <w:pPr>
              <w:pStyle w:val="32"/>
              <w:rPr>
                <w:szCs w:val="21"/>
                <w:u w:val="none"/>
              </w:rPr>
            </w:pPr>
            <w:r>
              <w:rPr>
                <w:szCs w:val="21"/>
                <w:u w:val="none"/>
              </w:rPr>
              <w:t>表土回覆，植被恢复措施，撒播种草。</w:t>
            </w:r>
          </w:p>
        </w:tc>
        <w:tc>
          <w:tcPr>
            <w:tcW w:w="2005" w:type="dxa"/>
            <w:vAlign w:val="center"/>
          </w:tcPr>
          <w:p w14:paraId="75BCD01B">
            <w:pPr>
              <w:pStyle w:val="32"/>
              <w:rPr>
                <w:szCs w:val="21"/>
                <w:u w:val="none"/>
              </w:rPr>
            </w:pPr>
            <w:r>
              <w:rPr>
                <w:szCs w:val="21"/>
                <w:u w:val="none"/>
              </w:rPr>
              <w:t>/</w:t>
            </w:r>
          </w:p>
        </w:tc>
        <w:tc>
          <w:tcPr>
            <w:tcW w:w="1389" w:type="dxa"/>
            <w:vAlign w:val="center"/>
          </w:tcPr>
          <w:p w14:paraId="323429E2">
            <w:pPr>
              <w:pStyle w:val="32"/>
              <w:rPr>
                <w:szCs w:val="21"/>
                <w:u w:val="none"/>
              </w:rPr>
            </w:pPr>
            <w:r>
              <w:rPr>
                <w:szCs w:val="21"/>
                <w:u w:val="none"/>
              </w:rPr>
              <w:t>/</w:t>
            </w:r>
          </w:p>
        </w:tc>
      </w:tr>
      <w:tr w14:paraId="6FB1C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1CC8B818">
            <w:pPr>
              <w:pStyle w:val="32"/>
              <w:rPr>
                <w:szCs w:val="21"/>
                <w:u w:val="none"/>
              </w:rPr>
            </w:pPr>
            <w:r>
              <w:rPr>
                <w:szCs w:val="21"/>
                <w:u w:val="none"/>
              </w:rPr>
              <w:t>水生生态</w:t>
            </w:r>
          </w:p>
        </w:tc>
        <w:tc>
          <w:tcPr>
            <w:tcW w:w="2062" w:type="dxa"/>
            <w:vAlign w:val="center"/>
          </w:tcPr>
          <w:p w14:paraId="05795FDF">
            <w:pPr>
              <w:pStyle w:val="32"/>
              <w:rPr>
                <w:szCs w:val="21"/>
                <w:u w:val="none"/>
              </w:rPr>
            </w:pPr>
            <w:r>
              <w:rPr>
                <w:szCs w:val="21"/>
                <w:u w:val="none"/>
              </w:rPr>
              <w:t>/</w:t>
            </w:r>
          </w:p>
        </w:tc>
        <w:tc>
          <w:tcPr>
            <w:tcW w:w="1995" w:type="dxa"/>
            <w:vAlign w:val="center"/>
          </w:tcPr>
          <w:p w14:paraId="6EB70819">
            <w:pPr>
              <w:pStyle w:val="32"/>
              <w:rPr>
                <w:szCs w:val="21"/>
                <w:u w:val="none"/>
              </w:rPr>
            </w:pPr>
            <w:r>
              <w:rPr>
                <w:szCs w:val="21"/>
                <w:u w:val="none"/>
              </w:rPr>
              <w:t>/</w:t>
            </w:r>
          </w:p>
        </w:tc>
        <w:tc>
          <w:tcPr>
            <w:tcW w:w="2005" w:type="dxa"/>
            <w:vAlign w:val="center"/>
          </w:tcPr>
          <w:p w14:paraId="38BBA7A1">
            <w:pPr>
              <w:pStyle w:val="32"/>
              <w:rPr>
                <w:szCs w:val="21"/>
                <w:u w:val="none"/>
              </w:rPr>
            </w:pPr>
            <w:r>
              <w:rPr>
                <w:szCs w:val="21"/>
                <w:u w:val="none"/>
              </w:rPr>
              <w:t>/</w:t>
            </w:r>
          </w:p>
        </w:tc>
        <w:tc>
          <w:tcPr>
            <w:tcW w:w="1389" w:type="dxa"/>
            <w:vAlign w:val="center"/>
          </w:tcPr>
          <w:p w14:paraId="0A8EED08">
            <w:pPr>
              <w:pStyle w:val="32"/>
              <w:rPr>
                <w:szCs w:val="21"/>
                <w:u w:val="none"/>
              </w:rPr>
            </w:pPr>
            <w:r>
              <w:rPr>
                <w:szCs w:val="21"/>
                <w:u w:val="none"/>
              </w:rPr>
              <w:t>/</w:t>
            </w:r>
          </w:p>
        </w:tc>
      </w:tr>
      <w:tr w14:paraId="6C288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071" w:type="dxa"/>
            <w:vAlign w:val="center"/>
          </w:tcPr>
          <w:p w14:paraId="552C43E5">
            <w:pPr>
              <w:pStyle w:val="32"/>
              <w:rPr>
                <w:szCs w:val="21"/>
                <w:u w:val="none"/>
              </w:rPr>
            </w:pPr>
            <w:r>
              <w:rPr>
                <w:szCs w:val="21"/>
                <w:u w:val="none"/>
              </w:rPr>
              <w:t>地表水环境</w:t>
            </w:r>
          </w:p>
        </w:tc>
        <w:tc>
          <w:tcPr>
            <w:tcW w:w="2062" w:type="dxa"/>
            <w:vAlign w:val="center"/>
          </w:tcPr>
          <w:p w14:paraId="54C4188A">
            <w:pPr>
              <w:pStyle w:val="32"/>
              <w:rPr>
                <w:rFonts w:ascii="Times New Roman" w:hAnsi="Times New Roman" w:eastAsia="宋体" w:cs="Times New Roman"/>
                <w:szCs w:val="21"/>
                <w:u w:val="none"/>
                <w:lang w:eastAsia="zh-CN"/>
              </w:rPr>
            </w:pPr>
            <w:r>
              <w:rPr>
                <w:rFonts w:ascii="Times New Roman" w:hAnsi="Times New Roman" w:eastAsia="宋体" w:cs="Times New Roman"/>
                <w:szCs w:val="21"/>
                <w:u w:val="none"/>
                <w:lang w:eastAsia="zh-CN"/>
              </w:rPr>
              <w:t>施工期</w:t>
            </w:r>
            <w:r>
              <w:rPr>
                <w:rFonts w:hint="eastAsia" w:ascii="Times New Roman" w:hAnsi="Times New Roman" w:eastAsia="宋体" w:cs="Times New Roman"/>
                <w:szCs w:val="21"/>
                <w:u w:val="none"/>
                <w:lang w:eastAsia="zh-CN"/>
              </w:rPr>
              <w:t>生活污水经化粪池处理后用于站内绿化，不外排，不会对周围水环境产生影响。</w:t>
            </w:r>
          </w:p>
        </w:tc>
        <w:tc>
          <w:tcPr>
            <w:tcW w:w="1995" w:type="dxa"/>
            <w:vAlign w:val="center"/>
          </w:tcPr>
          <w:p w14:paraId="255BC1C5">
            <w:pPr>
              <w:pStyle w:val="32"/>
              <w:rPr>
                <w:rFonts w:ascii="Times New Roman" w:hAnsi="Times New Roman" w:eastAsia="宋体" w:cs="Times New Roman"/>
                <w:szCs w:val="21"/>
                <w:u w:val="none"/>
                <w:lang w:eastAsia="zh-CN"/>
              </w:rPr>
            </w:pPr>
            <w:r>
              <w:rPr>
                <w:rFonts w:hint="eastAsia" w:ascii="Times New Roman" w:hAnsi="Times New Roman" w:eastAsia="宋体" w:cs="Times New Roman"/>
                <w:szCs w:val="21"/>
                <w:u w:val="none"/>
              </w:rPr>
              <w:t>施工期的各项地表水环境保护措施应按照环境影响评价文件及批复要求落实到位。</w:t>
            </w:r>
          </w:p>
        </w:tc>
        <w:tc>
          <w:tcPr>
            <w:tcW w:w="2005" w:type="dxa"/>
            <w:vAlign w:val="center"/>
          </w:tcPr>
          <w:p w14:paraId="34E10B9D">
            <w:pPr>
              <w:pStyle w:val="32"/>
              <w:rPr>
                <w:rFonts w:ascii="Times New Roman" w:hAnsi="Times New Roman" w:eastAsia="宋体" w:cs="Times New Roman"/>
                <w:szCs w:val="21"/>
                <w:u w:val="none"/>
              </w:rPr>
            </w:pPr>
            <w:r>
              <w:rPr>
                <w:rFonts w:hint="eastAsia" w:ascii="Times New Roman" w:hAnsi="Times New Roman" w:eastAsia="宋体" w:cs="Times New Roman"/>
                <w:szCs w:val="21"/>
                <w:u w:val="none"/>
              </w:rPr>
              <w:t>生活污水经化粪池处理后</w:t>
            </w:r>
            <w:r>
              <w:rPr>
                <w:rFonts w:hint="eastAsia" w:ascii="Times New Roman" w:hAnsi="Times New Roman" w:eastAsia="宋体" w:cs="Times New Roman"/>
                <w:szCs w:val="21"/>
                <w:u w:val="none"/>
                <w:lang w:eastAsia="zh-CN"/>
              </w:rPr>
              <w:t>作为站区绿化用水</w:t>
            </w:r>
            <w:r>
              <w:rPr>
                <w:rFonts w:hint="eastAsia" w:ascii="Times New Roman" w:hAnsi="Times New Roman" w:eastAsia="宋体" w:cs="Times New Roman"/>
                <w:szCs w:val="21"/>
                <w:u w:val="none"/>
              </w:rPr>
              <w:t>，不外排。</w:t>
            </w:r>
          </w:p>
        </w:tc>
        <w:tc>
          <w:tcPr>
            <w:tcW w:w="1389" w:type="dxa"/>
            <w:vAlign w:val="center"/>
          </w:tcPr>
          <w:p w14:paraId="22926CAB">
            <w:pPr>
              <w:pStyle w:val="32"/>
              <w:rPr>
                <w:rFonts w:ascii="Times New Roman" w:hAnsi="Times New Roman" w:eastAsia="宋体" w:cs="Times New Roman"/>
                <w:szCs w:val="21"/>
                <w:u w:val="none"/>
              </w:rPr>
            </w:pPr>
            <w:r>
              <w:rPr>
                <w:rFonts w:ascii="Times New Roman" w:hAnsi="Times New Roman" w:eastAsia="宋体" w:cs="Times New Roman"/>
                <w:szCs w:val="21"/>
                <w:u w:val="none"/>
              </w:rPr>
              <w:t>废水不排放</w:t>
            </w:r>
          </w:p>
        </w:tc>
      </w:tr>
      <w:tr w14:paraId="4920D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3DB7F6B5">
            <w:pPr>
              <w:pStyle w:val="32"/>
              <w:rPr>
                <w:szCs w:val="21"/>
                <w:u w:val="none"/>
              </w:rPr>
            </w:pPr>
            <w:r>
              <w:rPr>
                <w:szCs w:val="21"/>
                <w:u w:val="none"/>
              </w:rPr>
              <w:t>地下水及土壤环境</w:t>
            </w:r>
          </w:p>
        </w:tc>
        <w:tc>
          <w:tcPr>
            <w:tcW w:w="2062" w:type="dxa"/>
            <w:vAlign w:val="center"/>
          </w:tcPr>
          <w:p w14:paraId="37EF49AD">
            <w:pPr>
              <w:adjustRightInd w:val="0"/>
              <w:snapToGrid w:val="0"/>
              <w:jc w:val="center"/>
              <w:rPr>
                <w:szCs w:val="21"/>
                <w:u w:val="none"/>
              </w:rPr>
            </w:pPr>
            <w:r>
              <w:rPr>
                <w:szCs w:val="21"/>
              </w:rPr>
              <w:t>/</w:t>
            </w:r>
          </w:p>
        </w:tc>
        <w:tc>
          <w:tcPr>
            <w:tcW w:w="1995" w:type="dxa"/>
            <w:vAlign w:val="center"/>
          </w:tcPr>
          <w:p w14:paraId="4362FF7E">
            <w:pPr>
              <w:adjustRightInd w:val="0"/>
              <w:snapToGrid w:val="0"/>
              <w:jc w:val="center"/>
              <w:rPr>
                <w:szCs w:val="21"/>
                <w:u w:val="none"/>
              </w:rPr>
            </w:pPr>
            <w:r>
              <w:rPr>
                <w:szCs w:val="21"/>
              </w:rPr>
              <w:t>/</w:t>
            </w:r>
          </w:p>
        </w:tc>
        <w:tc>
          <w:tcPr>
            <w:tcW w:w="2005" w:type="dxa"/>
            <w:vAlign w:val="center"/>
          </w:tcPr>
          <w:p w14:paraId="16D2537C">
            <w:pPr>
              <w:adjustRightInd w:val="0"/>
              <w:snapToGrid w:val="0"/>
              <w:jc w:val="center"/>
              <w:rPr>
                <w:sz w:val="21"/>
                <w:szCs w:val="21"/>
                <w:u w:val="none"/>
              </w:rPr>
            </w:pPr>
            <w:r>
              <w:rPr>
                <w:szCs w:val="21"/>
              </w:rPr>
              <w:t>/</w:t>
            </w:r>
          </w:p>
        </w:tc>
        <w:tc>
          <w:tcPr>
            <w:tcW w:w="1389" w:type="dxa"/>
            <w:vAlign w:val="center"/>
          </w:tcPr>
          <w:p w14:paraId="2245F33E">
            <w:pPr>
              <w:adjustRightInd w:val="0"/>
              <w:snapToGrid w:val="0"/>
              <w:jc w:val="center"/>
              <w:rPr>
                <w:sz w:val="21"/>
                <w:szCs w:val="21"/>
                <w:u w:val="none"/>
              </w:rPr>
            </w:pPr>
            <w:r>
              <w:rPr>
                <w:szCs w:val="21"/>
              </w:rPr>
              <w:t>/</w:t>
            </w:r>
          </w:p>
        </w:tc>
      </w:tr>
      <w:tr w14:paraId="6A13A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33AB5735">
            <w:pPr>
              <w:pStyle w:val="32"/>
              <w:rPr>
                <w:szCs w:val="21"/>
                <w:u w:val="none"/>
              </w:rPr>
            </w:pPr>
            <w:r>
              <w:rPr>
                <w:szCs w:val="21"/>
                <w:u w:val="none"/>
              </w:rPr>
              <w:t>声环境</w:t>
            </w:r>
          </w:p>
        </w:tc>
        <w:tc>
          <w:tcPr>
            <w:tcW w:w="2062" w:type="dxa"/>
            <w:vAlign w:val="center"/>
          </w:tcPr>
          <w:p w14:paraId="1CA0DC80">
            <w:pPr>
              <w:adjustRightInd w:val="0"/>
              <w:snapToGrid w:val="0"/>
              <w:spacing w:line="240" w:lineRule="auto"/>
              <w:rPr>
                <w:sz w:val="21"/>
                <w:szCs w:val="21"/>
                <w:u w:val="none"/>
              </w:rPr>
            </w:pPr>
            <w:r>
              <w:rPr>
                <w:rFonts w:hint="eastAsia"/>
                <w:sz w:val="21"/>
                <w:szCs w:val="21"/>
                <w:u w:val="none"/>
              </w:rPr>
              <w:t>合理</w:t>
            </w:r>
            <w:r>
              <w:rPr>
                <w:sz w:val="21"/>
                <w:szCs w:val="21"/>
                <w:u w:val="none"/>
              </w:rPr>
              <w:t>安排施工时间，优先选用低噪声施工工艺和施工机械。</w:t>
            </w:r>
          </w:p>
        </w:tc>
        <w:tc>
          <w:tcPr>
            <w:tcW w:w="1995" w:type="dxa"/>
            <w:vAlign w:val="center"/>
          </w:tcPr>
          <w:p w14:paraId="17B657D5">
            <w:pPr>
              <w:adjustRightInd w:val="0"/>
              <w:snapToGrid w:val="0"/>
              <w:spacing w:line="240" w:lineRule="auto"/>
              <w:jc w:val="left"/>
              <w:rPr>
                <w:sz w:val="21"/>
                <w:szCs w:val="21"/>
                <w:u w:val="none"/>
              </w:rPr>
            </w:pPr>
            <w:r>
              <w:rPr>
                <w:rFonts w:hint="eastAsia"/>
                <w:sz w:val="21"/>
                <w:szCs w:val="21"/>
                <w:u w:val="none"/>
              </w:rPr>
              <w:t>满足《建筑施工场界环境噪声排放标准</w:t>
            </w:r>
            <w:r>
              <w:rPr>
                <w:rFonts w:hint="eastAsia"/>
                <w:sz w:val="21"/>
                <w:szCs w:val="21"/>
                <w:u w:val="none"/>
                <w:lang w:eastAsia="zh-CN"/>
              </w:rPr>
              <w:t>》</w:t>
            </w:r>
            <w:r>
              <w:rPr>
                <w:rFonts w:hint="eastAsia"/>
                <w:sz w:val="21"/>
                <w:szCs w:val="21"/>
                <w:u w:val="none"/>
              </w:rPr>
              <w:t>（GB12523-2011）的规定</w:t>
            </w:r>
          </w:p>
        </w:tc>
        <w:tc>
          <w:tcPr>
            <w:tcW w:w="2005" w:type="dxa"/>
            <w:vAlign w:val="center"/>
          </w:tcPr>
          <w:p w14:paraId="03B14535">
            <w:pPr>
              <w:adjustRightInd w:val="0"/>
              <w:snapToGrid w:val="0"/>
              <w:spacing w:line="240" w:lineRule="auto"/>
              <w:rPr>
                <w:rFonts w:hint="eastAsia"/>
                <w:sz w:val="21"/>
                <w:szCs w:val="21"/>
                <w:u w:val="none"/>
                <w:lang w:eastAsia="zh-CN"/>
              </w:rPr>
            </w:pPr>
            <w:r>
              <w:rPr>
                <w:rFonts w:hint="eastAsia"/>
                <w:sz w:val="21"/>
                <w:szCs w:val="21"/>
                <w:u w:val="none"/>
                <w:lang w:eastAsia="zh-CN"/>
              </w:rPr>
              <w:t>对厂界以及声环境保护目标进行监测</w:t>
            </w:r>
          </w:p>
        </w:tc>
        <w:tc>
          <w:tcPr>
            <w:tcW w:w="1389" w:type="dxa"/>
            <w:vAlign w:val="center"/>
          </w:tcPr>
          <w:p w14:paraId="763F0EB1">
            <w:pPr>
              <w:adjustRightInd w:val="0"/>
              <w:snapToGrid w:val="0"/>
              <w:spacing w:line="240" w:lineRule="auto"/>
              <w:rPr>
                <w:rFonts w:hint="eastAsia"/>
                <w:sz w:val="21"/>
                <w:szCs w:val="21"/>
                <w:u w:val="none"/>
                <w:lang w:eastAsia="zh-CN"/>
              </w:rPr>
            </w:pPr>
            <w:r>
              <w:rPr>
                <w:rFonts w:hint="eastAsia"/>
                <w:sz w:val="21"/>
                <w:szCs w:val="21"/>
                <w:u w:val="none"/>
                <w:lang w:eastAsia="zh-CN"/>
              </w:rPr>
              <w:t>运行期要求厂界噪声达</w:t>
            </w:r>
            <w:r>
              <w:rPr>
                <w:rFonts w:hint="eastAsia"/>
                <w:sz w:val="21"/>
                <w:szCs w:val="21"/>
                <w:u w:val="none"/>
                <w:lang w:val="en-US" w:eastAsia="zh-CN"/>
              </w:rPr>
              <w:t>到</w:t>
            </w:r>
            <w:r>
              <w:rPr>
                <w:rFonts w:hint="eastAsia"/>
                <w:sz w:val="21"/>
                <w:szCs w:val="21"/>
                <w:u w:val="none"/>
              </w:rPr>
              <w:t>《工业企业厂界环境噪声排放标准》（GB12348-2008）</w:t>
            </w:r>
            <w:r>
              <w:rPr>
                <w:rFonts w:hint="eastAsia"/>
                <w:sz w:val="21"/>
                <w:szCs w:val="21"/>
                <w:u w:val="none"/>
                <w:lang w:val="en-US" w:eastAsia="zh-CN"/>
              </w:rPr>
              <w:t>3类标准限值要求</w:t>
            </w:r>
            <w:r>
              <w:rPr>
                <w:rFonts w:hint="eastAsia"/>
                <w:sz w:val="21"/>
                <w:szCs w:val="21"/>
                <w:u w:val="none"/>
                <w:lang w:eastAsia="zh-CN"/>
              </w:rPr>
              <w:t>、敏感点噪声达</w:t>
            </w:r>
            <w:r>
              <w:rPr>
                <w:rFonts w:hint="eastAsia"/>
                <w:sz w:val="21"/>
                <w:szCs w:val="21"/>
                <w:u w:val="none"/>
                <w:lang w:val="en-US" w:eastAsia="zh-CN"/>
              </w:rPr>
              <w:t>到</w:t>
            </w:r>
            <w:r>
              <w:rPr>
                <w:rFonts w:hint="eastAsia"/>
                <w:sz w:val="21"/>
                <w:szCs w:val="21"/>
                <w:u w:val="none"/>
              </w:rPr>
              <w:t>《声环境质量标准》（GB3096-2008）</w:t>
            </w:r>
            <w:r>
              <w:rPr>
                <w:rFonts w:hint="eastAsia"/>
                <w:sz w:val="21"/>
                <w:szCs w:val="21"/>
                <w:u w:val="none"/>
                <w:lang w:val="en-US" w:eastAsia="zh-CN"/>
              </w:rPr>
              <w:t>3类标准限值要求</w:t>
            </w:r>
          </w:p>
        </w:tc>
      </w:tr>
      <w:tr w14:paraId="6BE24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7903668F">
            <w:pPr>
              <w:pStyle w:val="32"/>
              <w:rPr>
                <w:szCs w:val="21"/>
                <w:u w:val="none"/>
              </w:rPr>
            </w:pPr>
            <w:r>
              <w:rPr>
                <w:szCs w:val="21"/>
                <w:u w:val="none"/>
              </w:rPr>
              <w:t>振动</w:t>
            </w:r>
          </w:p>
        </w:tc>
        <w:tc>
          <w:tcPr>
            <w:tcW w:w="2062" w:type="dxa"/>
            <w:vAlign w:val="center"/>
          </w:tcPr>
          <w:p w14:paraId="6DA9A089">
            <w:pPr>
              <w:pStyle w:val="32"/>
              <w:rPr>
                <w:szCs w:val="21"/>
                <w:u w:val="none"/>
              </w:rPr>
            </w:pPr>
            <w:r>
              <w:rPr>
                <w:szCs w:val="21"/>
                <w:u w:val="none"/>
              </w:rPr>
              <w:t>/</w:t>
            </w:r>
          </w:p>
        </w:tc>
        <w:tc>
          <w:tcPr>
            <w:tcW w:w="1995" w:type="dxa"/>
            <w:vAlign w:val="center"/>
          </w:tcPr>
          <w:p w14:paraId="0D227B1F">
            <w:pPr>
              <w:pStyle w:val="32"/>
              <w:rPr>
                <w:szCs w:val="21"/>
                <w:u w:val="none"/>
              </w:rPr>
            </w:pPr>
            <w:r>
              <w:rPr>
                <w:szCs w:val="21"/>
                <w:u w:val="none"/>
              </w:rPr>
              <w:t>/</w:t>
            </w:r>
          </w:p>
        </w:tc>
        <w:tc>
          <w:tcPr>
            <w:tcW w:w="2005" w:type="dxa"/>
            <w:vAlign w:val="center"/>
          </w:tcPr>
          <w:p w14:paraId="6CE1391C">
            <w:pPr>
              <w:pStyle w:val="32"/>
              <w:rPr>
                <w:szCs w:val="21"/>
                <w:u w:val="none"/>
              </w:rPr>
            </w:pPr>
            <w:r>
              <w:rPr>
                <w:szCs w:val="21"/>
                <w:u w:val="none"/>
              </w:rPr>
              <w:t>/</w:t>
            </w:r>
          </w:p>
        </w:tc>
        <w:tc>
          <w:tcPr>
            <w:tcW w:w="1389" w:type="dxa"/>
            <w:vAlign w:val="center"/>
          </w:tcPr>
          <w:p w14:paraId="75464D9A">
            <w:pPr>
              <w:pStyle w:val="32"/>
              <w:rPr>
                <w:szCs w:val="21"/>
                <w:u w:val="none"/>
              </w:rPr>
            </w:pPr>
            <w:r>
              <w:rPr>
                <w:szCs w:val="21"/>
                <w:u w:val="none"/>
              </w:rPr>
              <w:t>/</w:t>
            </w:r>
          </w:p>
        </w:tc>
      </w:tr>
      <w:tr w14:paraId="3B29B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1071" w:type="dxa"/>
            <w:vAlign w:val="center"/>
          </w:tcPr>
          <w:p w14:paraId="1D77B404">
            <w:pPr>
              <w:pStyle w:val="32"/>
              <w:rPr>
                <w:szCs w:val="21"/>
                <w:u w:val="none"/>
              </w:rPr>
            </w:pPr>
            <w:r>
              <w:rPr>
                <w:szCs w:val="21"/>
                <w:u w:val="none"/>
              </w:rPr>
              <w:t>大气环境</w:t>
            </w:r>
          </w:p>
        </w:tc>
        <w:tc>
          <w:tcPr>
            <w:tcW w:w="2062" w:type="dxa"/>
            <w:vAlign w:val="center"/>
          </w:tcPr>
          <w:p w14:paraId="763F41A8">
            <w:pPr>
              <w:pStyle w:val="32"/>
              <w:rPr>
                <w:szCs w:val="21"/>
                <w:u w:val="none"/>
              </w:rPr>
            </w:pPr>
            <w:r>
              <w:rPr>
                <w:rFonts w:hint="eastAsia"/>
                <w:szCs w:val="21"/>
                <w:u w:val="none"/>
                <w:lang w:eastAsia="zh-CN"/>
              </w:rPr>
              <w:t>进行基础、沟道开挖时进行洒水降尘；对车辆进行限速；保持道路清洁，管控料堆和渣土堆放。</w:t>
            </w:r>
          </w:p>
        </w:tc>
        <w:tc>
          <w:tcPr>
            <w:tcW w:w="1995" w:type="dxa"/>
            <w:vAlign w:val="center"/>
          </w:tcPr>
          <w:p w14:paraId="254CB5C8">
            <w:pPr>
              <w:pStyle w:val="32"/>
              <w:rPr>
                <w:szCs w:val="21"/>
                <w:u w:val="none"/>
                <w:lang w:eastAsia="zh-CN"/>
              </w:rPr>
            </w:pPr>
            <w:r>
              <w:rPr>
                <w:rFonts w:hint="eastAsia"/>
                <w:szCs w:val="21"/>
                <w:u w:val="none"/>
                <w:lang w:eastAsia="zh-CN"/>
              </w:rPr>
              <w:t>颗粒物</w:t>
            </w:r>
            <w:r>
              <w:rPr>
                <w:szCs w:val="21"/>
                <w:u w:val="none"/>
                <w:lang w:eastAsia="zh-CN"/>
              </w:rPr>
              <w:t>排放满足</w:t>
            </w:r>
            <w:r>
              <w:rPr>
                <w:rFonts w:hint="eastAsia"/>
                <w:szCs w:val="21"/>
                <w:u w:val="none"/>
                <w:lang w:eastAsia="zh-CN"/>
              </w:rPr>
              <w:t>《大气污染物综合排放标准》（GB16297-1996）中的二级标准要求</w:t>
            </w:r>
          </w:p>
        </w:tc>
        <w:tc>
          <w:tcPr>
            <w:tcW w:w="2005" w:type="dxa"/>
            <w:vAlign w:val="center"/>
          </w:tcPr>
          <w:p w14:paraId="22372A03">
            <w:pPr>
              <w:pStyle w:val="32"/>
              <w:rPr>
                <w:szCs w:val="21"/>
                <w:u w:val="none"/>
              </w:rPr>
            </w:pPr>
            <w:r>
              <w:rPr>
                <w:szCs w:val="21"/>
                <w:u w:val="none"/>
              </w:rPr>
              <w:t>/</w:t>
            </w:r>
          </w:p>
        </w:tc>
        <w:tc>
          <w:tcPr>
            <w:tcW w:w="1389" w:type="dxa"/>
            <w:vAlign w:val="center"/>
          </w:tcPr>
          <w:p w14:paraId="2141C660">
            <w:pPr>
              <w:pStyle w:val="32"/>
              <w:rPr>
                <w:szCs w:val="21"/>
                <w:u w:val="none"/>
              </w:rPr>
            </w:pPr>
            <w:r>
              <w:rPr>
                <w:szCs w:val="21"/>
                <w:u w:val="none"/>
              </w:rPr>
              <w:t>/</w:t>
            </w:r>
          </w:p>
        </w:tc>
      </w:tr>
      <w:tr w14:paraId="648E9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Align w:val="center"/>
          </w:tcPr>
          <w:p w14:paraId="060EABFB">
            <w:pPr>
              <w:pStyle w:val="32"/>
              <w:rPr>
                <w:szCs w:val="21"/>
                <w:u w:val="none"/>
              </w:rPr>
            </w:pPr>
            <w:r>
              <w:rPr>
                <w:szCs w:val="21"/>
                <w:u w:val="none"/>
              </w:rPr>
              <w:t>固体废物</w:t>
            </w:r>
          </w:p>
        </w:tc>
        <w:tc>
          <w:tcPr>
            <w:tcW w:w="2062" w:type="dxa"/>
            <w:vAlign w:val="center"/>
          </w:tcPr>
          <w:p w14:paraId="05255765">
            <w:pPr>
              <w:adjustRightInd w:val="0"/>
              <w:snapToGrid w:val="0"/>
              <w:spacing w:line="240" w:lineRule="auto"/>
              <w:jc w:val="center"/>
              <w:rPr>
                <w:rFonts w:hint="eastAsia"/>
                <w:sz w:val="21"/>
                <w:szCs w:val="21"/>
                <w:u w:val="none"/>
                <w:lang w:bidi="ar"/>
              </w:rPr>
            </w:pPr>
            <w:r>
              <w:rPr>
                <w:rFonts w:hint="eastAsia"/>
                <w:sz w:val="21"/>
                <w:szCs w:val="21"/>
                <w:u w:val="none"/>
                <w:lang w:bidi="ar"/>
              </w:rPr>
              <w:t>生活垃圾经集中收集后，清运至当地的垃圾收集点，禁止乱丢乱弃；</w:t>
            </w:r>
          </w:p>
          <w:p w14:paraId="03F1FDB6">
            <w:pPr>
              <w:adjustRightInd w:val="0"/>
              <w:snapToGrid w:val="0"/>
              <w:spacing w:line="240" w:lineRule="auto"/>
              <w:jc w:val="center"/>
              <w:rPr>
                <w:rFonts w:hint="eastAsia"/>
                <w:sz w:val="21"/>
                <w:szCs w:val="21"/>
                <w:u w:val="none"/>
                <w:lang w:bidi="ar"/>
              </w:rPr>
            </w:pPr>
            <w:r>
              <w:rPr>
                <w:rFonts w:hint="eastAsia"/>
                <w:sz w:val="21"/>
                <w:szCs w:val="21"/>
                <w:u w:val="none"/>
                <w:lang w:bidi="ar"/>
              </w:rPr>
              <w:t>建筑垃圾进行分类回收利用，不可回收利用的运至当地政府有关部门指定地点堆放；</w:t>
            </w:r>
          </w:p>
          <w:p w14:paraId="35D20859">
            <w:pPr>
              <w:adjustRightInd w:val="0"/>
              <w:snapToGrid w:val="0"/>
              <w:spacing w:line="240" w:lineRule="auto"/>
              <w:jc w:val="center"/>
              <w:rPr>
                <w:sz w:val="21"/>
                <w:szCs w:val="21"/>
                <w:u w:val="none"/>
              </w:rPr>
            </w:pPr>
            <w:r>
              <w:rPr>
                <w:rFonts w:hint="eastAsia"/>
                <w:sz w:val="21"/>
                <w:szCs w:val="21"/>
                <w:u w:val="none"/>
                <w:lang w:bidi="ar"/>
              </w:rPr>
              <w:t>含油固废交给</w:t>
            </w:r>
            <w:r>
              <w:rPr>
                <w:rFonts w:hint="eastAsia"/>
                <w:sz w:val="21"/>
                <w:szCs w:val="21"/>
                <w:u w:val="none"/>
              </w:rPr>
              <w:t>广西欣桂达环保科技有限公司</w:t>
            </w:r>
            <w:r>
              <w:rPr>
                <w:rFonts w:hint="eastAsia"/>
                <w:sz w:val="21"/>
                <w:szCs w:val="21"/>
                <w:u w:val="none"/>
                <w:lang w:bidi="ar"/>
              </w:rPr>
              <w:t>进行处理</w:t>
            </w:r>
            <w:r>
              <w:rPr>
                <w:sz w:val="21"/>
                <w:szCs w:val="21"/>
                <w:u w:val="none"/>
                <w:lang w:bidi="ar"/>
              </w:rPr>
              <w:t>。</w:t>
            </w:r>
          </w:p>
        </w:tc>
        <w:tc>
          <w:tcPr>
            <w:tcW w:w="1995" w:type="dxa"/>
            <w:vAlign w:val="center"/>
          </w:tcPr>
          <w:p w14:paraId="559FA14D">
            <w:pPr>
              <w:adjustRightInd w:val="0"/>
              <w:snapToGrid w:val="0"/>
              <w:spacing w:line="240" w:lineRule="auto"/>
              <w:jc w:val="center"/>
              <w:rPr>
                <w:sz w:val="21"/>
                <w:szCs w:val="21"/>
                <w:u w:val="none"/>
              </w:rPr>
            </w:pPr>
            <w:r>
              <w:rPr>
                <w:sz w:val="21"/>
                <w:szCs w:val="21"/>
                <w:u w:val="none"/>
                <w:lang w:bidi="ar"/>
              </w:rPr>
              <w:t>落实相关措施，无乱丢乱弃</w:t>
            </w:r>
            <w:r>
              <w:rPr>
                <w:rFonts w:hint="eastAsia"/>
                <w:sz w:val="21"/>
                <w:szCs w:val="21"/>
                <w:u w:val="none"/>
                <w:lang w:bidi="ar"/>
              </w:rPr>
              <w:t>，禁止焚烧垃圾</w:t>
            </w:r>
            <w:r>
              <w:rPr>
                <w:sz w:val="21"/>
                <w:szCs w:val="21"/>
                <w:u w:val="none"/>
                <w:lang w:bidi="ar"/>
              </w:rPr>
              <w:t>。</w:t>
            </w:r>
          </w:p>
        </w:tc>
        <w:tc>
          <w:tcPr>
            <w:tcW w:w="2005" w:type="dxa"/>
            <w:vAlign w:val="center"/>
          </w:tcPr>
          <w:p w14:paraId="6D9B66CF">
            <w:pPr>
              <w:spacing w:line="240" w:lineRule="auto"/>
              <w:rPr>
                <w:sz w:val="21"/>
                <w:szCs w:val="21"/>
                <w:u w:val="none"/>
              </w:rPr>
            </w:pPr>
            <w:r>
              <w:rPr>
                <w:sz w:val="21"/>
                <w:szCs w:val="21"/>
                <w:u w:val="none"/>
                <w:lang w:bidi="ar"/>
              </w:rPr>
              <w:t>本项目无新增定员，无新增生活垃圾产生。现有工程生活垃圾经收集后交由环卫部门统一处理。</w:t>
            </w:r>
            <w:r>
              <w:rPr>
                <w:sz w:val="21"/>
                <w:szCs w:val="21"/>
                <w:u w:val="none"/>
              </w:rPr>
              <w:t>本项目无新增废旧蓄电池。事故状态下的废油交</w:t>
            </w:r>
            <w:r>
              <w:rPr>
                <w:rFonts w:hint="eastAsia"/>
                <w:sz w:val="21"/>
                <w:szCs w:val="21"/>
                <w:u w:val="none"/>
                <w:lang w:val="en-US" w:eastAsia="zh-CN"/>
              </w:rPr>
              <w:t>由</w:t>
            </w:r>
            <w:r>
              <w:rPr>
                <w:rFonts w:hint="eastAsia"/>
                <w:sz w:val="21"/>
                <w:szCs w:val="21"/>
                <w:u w:val="none"/>
              </w:rPr>
              <w:t>广西欣桂达环保科技有限公司</w:t>
            </w:r>
            <w:r>
              <w:rPr>
                <w:sz w:val="21"/>
                <w:szCs w:val="21"/>
                <w:u w:val="none"/>
              </w:rPr>
              <w:t>按国家相关规定处理。</w:t>
            </w:r>
          </w:p>
        </w:tc>
        <w:tc>
          <w:tcPr>
            <w:tcW w:w="1389" w:type="dxa"/>
            <w:vAlign w:val="center"/>
          </w:tcPr>
          <w:p w14:paraId="574E9D72">
            <w:pPr>
              <w:pStyle w:val="32"/>
              <w:rPr>
                <w:szCs w:val="21"/>
                <w:u w:val="none"/>
                <w:lang w:eastAsia="zh-CN"/>
              </w:rPr>
            </w:pPr>
            <w:r>
              <w:rPr>
                <w:szCs w:val="21"/>
                <w:u w:val="none"/>
                <w:lang w:eastAsia="zh-CN"/>
              </w:rPr>
              <w:t>核实</w:t>
            </w:r>
            <w:r>
              <w:rPr>
                <w:rFonts w:hint="eastAsia"/>
                <w:szCs w:val="21"/>
                <w:u w:val="none"/>
                <w:lang w:eastAsia="zh-CN"/>
              </w:rPr>
              <w:t>是否按</w:t>
            </w:r>
            <w:r>
              <w:rPr>
                <w:szCs w:val="21"/>
                <w:u w:val="none"/>
                <w:lang w:eastAsia="zh-CN"/>
              </w:rPr>
              <w:t>环评要求落实。</w:t>
            </w:r>
          </w:p>
        </w:tc>
      </w:tr>
      <w:tr w14:paraId="3B93B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63EF9085">
            <w:pPr>
              <w:pStyle w:val="32"/>
              <w:rPr>
                <w:szCs w:val="21"/>
                <w:u w:val="none"/>
              </w:rPr>
            </w:pPr>
            <w:r>
              <w:rPr>
                <w:szCs w:val="21"/>
                <w:u w:val="none"/>
              </w:rPr>
              <w:t>电磁环境</w:t>
            </w:r>
          </w:p>
        </w:tc>
        <w:tc>
          <w:tcPr>
            <w:tcW w:w="2062" w:type="dxa"/>
            <w:vAlign w:val="center"/>
          </w:tcPr>
          <w:p w14:paraId="2B486F3A">
            <w:pPr>
              <w:pStyle w:val="32"/>
              <w:rPr>
                <w:szCs w:val="21"/>
                <w:u w:val="none"/>
              </w:rPr>
            </w:pPr>
            <w:r>
              <w:rPr>
                <w:szCs w:val="21"/>
                <w:u w:val="none"/>
              </w:rPr>
              <w:t>/</w:t>
            </w:r>
          </w:p>
        </w:tc>
        <w:tc>
          <w:tcPr>
            <w:tcW w:w="1995" w:type="dxa"/>
            <w:vAlign w:val="center"/>
          </w:tcPr>
          <w:p w14:paraId="174D0629">
            <w:pPr>
              <w:pStyle w:val="32"/>
              <w:rPr>
                <w:szCs w:val="21"/>
                <w:u w:val="none"/>
              </w:rPr>
            </w:pPr>
            <w:r>
              <w:rPr>
                <w:szCs w:val="21"/>
                <w:u w:val="none"/>
              </w:rPr>
              <w:t>/</w:t>
            </w:r>
          </w:p>
        </w:tc>
        <w:tc>
          <w:tcPr>
            <w:tcW w:w="2005" w:type="dxa"/>
            <w:vAlign w:val="center"/>
          </w:tcPr>
          <w:p w14:paraId="19E8F8FB">
            <w:pPr>
              <w:pStyle w:val="32"/>
              <w:rPr>
                <w:szCs w:val="21"/>
                <w:u w:val="none"/>
                <w:lang w:eastAsia="zh-CN"/>
              </w:rPr>
            </w:pPr>
            <w:r>
              <w:rPr>
                <w:szCs w:val="21"/>
                <w:u w:val="none"/>
                <w:lang w:eastAsia="zh-CN"/>
              </w:rPr>
              <w:t>合理设计并保证设备及配件加工精良，控制绝缘子表面放电，减少因接触不良而产生的火花放电。</w:t>
            </w:r>
          </w:p>
        </w:tc>
        <w:tc>
          <w:tcPr>
            <w:tcW w:w="1389" w:type="dxa"/>
            <w:vAlign w:val="center"/>
          </w:tcPr>
          <w:p w14:paraId="4020F8BF">
            <w:pPr>
              <w:pStyle w:val="32"/>
              <w:rPr>
                <w:szCs w:val="21"/>
                <w:u w:val="none"/>
                <w:lang w:eastAsia="zh-CN"/>
              </w:rPr>
            </w:pPr>
            <w:r>
              <w:rPr>
                <w:rFonts w:hint="eastAsia"/>
                <w:szCs w:val="21"/>
                <w:u w:val="none"/>
                <w:lang w:val="en-US" w:eastAsia="zh-CN"/>
              </w:rPr>
              <w:t>厂界及</w:t>
            </w:r>
            <w:r>
              <w:rPr>
                <w:szCs w:val="21"/>
                <w:u w:val="none"/>
                <w:lang w:eastAsia="zh-CN"/>
              </w:rPr>
              <w:t>评价范围内环境敏感目标处的工频电场强度&lt;4000V/m，工频磁感应强度&lt;</w:t>
            </w:r>
            <w:r>
              <w:rPr>
                <w:szCs w:val="21"/>
                <w:u w:val="none"/>
                <w:lang w:eastAsia="zh-CN" w:bidi="ar"/>
              </w:rPr>
              <w:t>100</w:t>
            </w:r>
            <w:r>
              <w:rPr>
                <w:szCs w:val="21"/>
                <w:u w:val="none"/>
                <w:lang w:bidi="ar"/>
              </w:rPr>
              <w:t>μ</w:t>
            </w:r>
            <w:r>
              <w:rPr>
                <w:szCs w:val="21"/>
                <w:u w:val="none"/>
                <w:lang w:eastAsia="zh-CN"/>
              </w:rPr>
              <w:t>T。</w:t>
            </w:r>
          </w:p>
        </w:tc>
      </w:tr>
      <w:tr w14:paraId="7A47A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0CF2A1E6">
            <w:pPr>
              <w:pStyle w:val="32"/>
              <w:rPr>
                <w:szCs w:val="21"/>
                <w:u w:val="none"/>
              </w:rPr>
            </w:pPr>
            <w:r>
              <w:rPr>
                <w:szCs w:val="21"/>
                <w:u w:val="none"/>
              </w:rPr>
              <w:t>环境风险</w:t>
            </w:r>
          </w:p>
        </w:tc>
        <w:tc>
          <w:tcPr>
            <w:tcW w:w="2062" w:type="dxa"/>
            <w:vAlign w:val="center"/>
          </w:tcPr>
          <w:p w14:paraId="6011714E">
            <w:pPr>
              <w:pStyle w:val="32"/>
              <w:rPr>
                <w:szCs w:val="21"/>
                <w:u w:val="none"/>
              </w:rPr>
            </w:pPr>
            <w:r>
              <w:rPr>
                <w:szCs w:val="21"/>
                <w:u w:val="none"/>
              </w:rPr>
              <w:t>/</w:t>
            </w:r>
          </w:p>
        </w:tc>
        <w:tc>
          <w:tcPr>
            <w:tcW w:w="1995" w:type="dxa"/>
            <w:vAlign w:val="center"/>
          </w:tcPr>
          <w:p w14:paraId="4E19A1F1">
            <w:pPr>
              <w:pStyle w:val="32"/>
              <w:rPr>
                <w:szCs w:val="21"/>
                <w:u w:val="none"/>
              </w:rPr>
            </w:pPr>
            <w:r>
              <w:rPr>
                <w:szCs w:val="21"/>
                <w:u w:val="none"/>
              </w:rPr>
              <w:t>/</w:t>
            </w:r>
          </w:p>
        </w:tc>
        <w:tc>
          <w:tcPr>
            <w:tcW w:w="2005" w:type="dxa"/>
            <w:vAlign w:val="center"/>
          </w:tcPr>
          <w:p w14:paraId="12677C8F">
            <w:pPr>
              <w:pStyle w:val="32"/>
              <w:rPr>
                <w:szCs w:val="21"/>
                <w:u w:val="none"/>
                <w:lang w:eastAsia="zh-CN"/>
              </w:rPr>
            </w:pPr>
            <w:r>
              <w:rPr>
                <w:rFonts w:hint="eastAsia"/>
                <w:szCs w:val="21"/>
                <w:u w:val="none"/>
                <w:lang w:val="en-US" w:eastAsia="zh-CN" w:bidi="ar"/>
              </w:rPr>
              <w:t>前期已建</w:t>
            </w:r>
            <w:r>
              <w:rPr>
                <w:szCs w:val="21"/>
                <w:u w:val="none"/>
                <w:lang w:eastAsia="zh-CN" w:bidi="ar"/>
              </w:rPr>
              <w:t>容积为</w:t>
            </w:r>
            <w:r>
              <w:rPr>
                <w:rFonts w:hint="eastAsia"/>
                <w:szCs w:val="21"/>
                <w:u w:val="none"/>
                <w:lang w:val="en-US" w:eastAsia="zh-CN" w:bidi="ar"/>
              </w:rPr>
              <w:t>65</w:t>
            </w:r>
            <w:r>
              <w:rPr>
                <w:szCs w:val="21"/>
                <w:u w:val="none"/>
                <w:lang w:eastAsia="zh-CN" w:bidi="ar"/>
              </w:rPr>
              <w:t>m</w:t>
            </w:r>
            <w:r>
              <w:rPr>
                <w:szCs w:val="21"/>
                <w:u w:val="none"/>
                <w:vertAlign w:val="superscript"/>
                <w:lang w:eastAsia="zh-CN" w:bidi="ar"/>
              </w:rPr>
              <w:t>3</w:t>
            </w:r>
            <w:r>
              <w:rPr>
                <w:szCs w:val="21"/>
                <w:u w:val="none"/>
                <w:lang w:eastAsia="zh-CN" w:bidi="ar"/>
              </w:rPr>
              <w:t>的事故油池，事故发生时会发生变压器油外泄，交</w:t>
            </w:r>
            <w:r>
              <w:rPr>
                <w:rFonts w:hint="eastAsia"/>
                <w:sz w:val="21"/>
                <w:szCs w:val="21"/>
                <w:u w:val="none"/>
                <w:lang w:val="en-US" w:eastAsia="zh-CN"/>
              </w:rPr>
              <w:t>由</w:t>
            </w:r>
            <w:r>
              <w:rPr>
                <w:rFonts w:hint="eastAsia"/>
                <w:sz w:val="21"/>
                <w:szCs w:val="21"/>
                <w:u w:val="none"/>
              </w:rPr>
              <w:t>广西欣桂达环保科技有限公司</w:t>
            </w:r>
            <w:r>
              <w:rPr>
                <w:szCs w:val="21"/>
                <w:u w:val="none"/>
                <w:lang w:eastAsia="zh-CN" w:bidi="ar"/>
              </w:rPr>
              <w:t>按国家有关规定处理处置。</w:t>
            </w:r>
          </w:p>
        </w:tc>
        <w:tc>
          <w:tcPr>
            <w:tcW w:w="1389" w:type="dxa"/>
            <w:vAlign w:val="center"/>
          </w:tcPr>
          <w:p w14:paraId="4AB187E3">
            <w:pPr>
              <w:pStyle w:val="32"/>
              <w:rPr>
                <w:szCs w:val="21"/>
                <w:u w:val="none"/>
                <w:lang w:eastAsia="zh-CN"/>
              </w:rPr>
            </w:pPr>
            <w:r>
              <w:rPr>
                <w:rFonts w:hint="eastAsia"/>
                <w:szCs w:val="21"/>
                <w:u w:val="none"/>
                <w:lang w:eastAsia="zh-CN"/>
              </w:rPr>
              <w:t>核实油池是否满足100%要求，防渗是否满足要求</w:t>
            </w:r>
            <w:r>
              <w:rPr>
                <w:szCs w:val="21"/>
                <w:u w:val="none"/>
                <w:lang w:eastAsia="zh-CN"/>
              </w:rPr>
              <w:t>。</w:t>
            </w:r>
          </w:p>
        </w:tc>
      </w:tr>
      <w:tr w14:paraId="568A0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3545B1AE">
            <w:pPr>
              <w:pStyle w:val="32"/>
              <w:rPr>
                <w:szCs w:val="21"/>
                <w:u w:val="none"/>
              </w:rPr>
            </w:pPr>
            <w:r>
              <w:rPr>
                <w:szCs w:val="21"/>
                <w:u w:val="none"/>
              </w:rPr>
              <w:t>环境监测</w:t>
            </w:r>
          </w:p>
        </w:tc>
        <w:tc>
          <w:tcPr>
            <w:tcW w:w="2062" w:type="dxa"/>
            <w:vAlign w:val="center"/>
          </w:tcPr>
          <w:p w14:paraId="63F1DA69">
            <w:pPr>
              <w:pStyle w:val="32"/>
              <w:rPr>
                <w:szCs w:val="21"/>
                <w:u w:val="none"/>
              </w:rPr>
            </w:pPr>
            <w:r>
              <w:rPr>
                <w:szCs w:val="21"/>
                <w:u w:val="none"/>
              </w:rPr>
              <w:t>/</w:t>
            </w:r>
          </w:p>
        </w:tc>
        <w:tc>
          <w:tcPr>
            <w:tcW w:w="1995" w:type="dxa"/>
            <w:vAlign w:val="center"/>
          </w:tcPr>
          <w:p w14:paraId="7AC78558">
            <w:pPr>
              <w:pStyle w:val="32"/>
              <w:rPr>
                <w:szCs w:val="21"/>
                <w:u w:val="none"/>
              </w:rPr>
            </w:pPr>
            <w:r>
              <w:rPr>
                <w:szCs w:val="21"/>
                <w:u w:val="none"/>
              </w:rPr>
              <w:t>/</w:t>
            </w:r>
          </w:p>
        </w:tc>
        <w:tc>
          <w:tcPr>
            <w:tcW w:w="2005" w:type="dxa"/>
            <w:vAlign w:val="center"/>
          </w:tcPr>
          <w:p w14:paraId="0C25B4F3">
            <w:pPr>
              <w:pStyle w:val="32"/>
              <w:rPr>
                <w:szCs w:val="21"/>
                <w:u w:val="none"/>
                <w:lang w:eastAsia="zh-CN"/>
              </w:rPr>
            </w:pPr>
            <w:r>
              <w:rPr>
                <w:szCs w:val="21"/>
                <w:u w:val="none"/>
                <w:lang w:eastAsia="zh-CN"/>
              </w:rPr>
              <w:t>工频电场、工频磁场、等效A声级</w:t>
            </w:r>
          </w:p>
        </w:tc>
        <w:tc>
          <w:tcPr>
            <w:tcW w:w="1389" w:type="dxa"/>
            <w:vAlign w:val="center"/>
          </w:tcPr>
          <w:p w14:paraId="5045D165">
            <w:pPr>
              <w:pStyle w:val="32"/>
              <w:rPr>
                <w:szCs w:val="21"/>
                <w:u w:val="none"/>
                <w:lang w:eastAsia="zh-CN"/>
              </w:rPr>
            </w:pPr>
            <w:r>
              <w:rPr>
                <w:szCs w:val="21"/>
                <w:u w:val="none"/>
                <w:lang w:eastAsia="zh-CN" w:bidi="ar"/>
              </w:rPr>
              <w:t>运维单位制定定期监测计划</w:t>
            </w:r>
          </w:p>
        </w:tc>
      </w:tr>
      <w:tr w14:paraId="64A3E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1" w:type="dxa"/>
            <w:vAlign w:val="center"/>
          </w:tcPr>
          <w:p w14:paraId="7199207B">
            <w:pPr>
              <w:pStyle w:val="32"/>
              <w:rPr>
                <w:szCs w:val="21"/>
                <w:u w:val="none"/>
              </w:rPr>
            </w:pPr>
            <w:r>
              <w:rPr>
                <w:szCs w:val="21"/>
                <w:u w:val="none"/>
              </w:rPr>
              <w:t>其他</w:t>
            </w:r>
          </w:p>
        </w:tc>
        <w:tc>
          <w:tcPr>
            <w:tcW w:w="2062" w:type="dxa"/>
            <w:vAlign w:val="center"/>
          </w:tcPr>
          <w:p w14:paraId="5CD76FAA">
            <w:pPr>
              <w:pStyle w:val="32"/>
              <w:rPr>
                <w:szCs w:val="21"/>
                <w:u w:val="none"/>
              </w:rPr>
            </w:pPr>
            <w:r>
              <w:rPr>
                <w:szCs w:val="21"/>
                <w:u w:val="none"/>
              </w:rPr>
              <w:t>/</w:t>
            </w:r>
          </w:p>
        </w:tc>
        <w:tc>
          <w:tcPr>
            <w:tcW w:w="1995" w:type="dxa"/>
            <w:vAlign w:val="center"/>
          </w:tcPr>
          <w:p w14:paraId="2F9F6901">
            <w:pPr>
              <w:pStyle w:val="32"/>
              <w:rPr>
                <w:szCs w:val="21"/>
                <w:u w:val="none"/>
              </w:rPr>
            </w:pPr>
            <w:r>
              <w:rPr>
                <w:szCs w:val="21"/>
                <w:u w:val="none"/>
              </w:rPr>
              <w:t>/</w:t>
            </w:r>
          </w:p>
        </w:tc>
        <w:tc>
          <w:tcPr>
            <w:tcW w:w="2005" w:type="dxa"/>
            <w:vAlign w:val="center"/>
          </w:tcPr>
          <w:p w14:paraId="319AA41F">
            <w:pPr>
              <w:pStyle w:val="32"/>
              <w:rPr>
                <w:szCs w:val="21"/>
                <w:u w:val="none"/>
              </w:rPr>
            </w:pPr>
            <w:r>
              <w:rPr>
                <w:szCs w:val="21"/>
                <w:u w:val="none"/>
              </w:rPr>
              <w:t>/</w:t>
            </w:r>
          </w:p>
        </w:tc>
        <w:tc>
          <w:tcPr>
            <w:tcW w:w="1389" w:type="dxa"/>
            <w:vAlign w:val="center"/>
          </w:tcPr>
          <w:p w14:paraId="3FC5DF3B">
            <w:pPr>
              <w:pStyle w:val="32"/>
              <w:rPr>
                <w:szCs w:val="21"/>
                <w:u w:val="none"/>
              </w:rPr>
            </w:pPr>
            <w:r>
              <w:rPr>
                <w:szCs w:val="21"/>
                <w:u w:val="none"/>
              </w:rPr>
              <w:t>/</w:t>
            </w:r>
          </w:p>
        </w:tc>
      </w:tr>
    </w:tbl>
    <w:p w14:paraId="673918C2">
      <w:pPr>
        <w:pStyle w:val="34"/>
        <w:rPr>
          <w:rFonts w:ascii="Times New Roman" w:hAnsi="Times New Roman"/>
          <w:snapToGrid w:val="0"/>
          <w:sz w:val="24"/>
          <w:szCs w:val="24"/>
          <w:u w:val="none"/>
        </w:rPr>
      </w:pPr>
    </w:p>
    <w:p w14:paraId="20A704D8">
      <w:pPr>
        <w:pStyle w:val="17"/>
        <w:spacing w:beforeAutospacing="0" w:line="14" w:lineRule="auto"/>
        <w:jc w:val="center"/>
        <w:rPr>
          <w:rFonts w:ascii="Times New Roman" w:hAnsi="Times New Roman"/>
          <w:snapToGrid w:val="0"/>
          <w:szCs w:val="24"/>
          <w:u w:val="none"/>
        </w:rPr>
      </w:pPr>
      <w:r>
        <w:rPr>
          <w:rFonts w:ascii="Times New Roman" w:hAnsi="Times New Roman"/>
          <w:snapToGrid w:val="0"/>
          <w:szCs w:val="24"/>
          <w:u w:val="none"/>
        </w:rPr>
        <w:br w:type="page"/>
      </w:r>
    </w:p>
    <w:p w14:paraId="2E50DC76">
      <w:pPr>
        <w:pStyle w:val="2"/>
        <w:rPr>
          <w:u w:val="none"/>
        </w:rPr>
      </w:pPr>
      <w:bookmarkStart w:id="77" w:name="_Toc18787"/>
      <w:bookmarkStart w:id="78" w:name="_Toc17074"/>
      <w:bookmarkStart w:id="79" w:name="_Toc6033"/>
      <w:bookmarkStart w:id="80" w:name="_Toc15584"/>
      <w:r>
        <w:rPr>
          <w:rFonts w:hint="eastAsia"/>
          <w:u w:val="none"/>
        </w:rPr>
        <w:t>七、结论</w:t>
      </w:r>
      <w:bookmarkEnd w:id="77"/>
      <w:bookmarkEnd w:id="78"/>
      <w:bookmarkEnd w:id="79"/>
      <w:bookmarkEnd w:id="80"/>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53326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7" w:hRule="atLeast"/>
          <w:jc w:val="center"/>
        </w:trPr>
        <w:tc>
          <w:tcPr>
            <w:tcW w:w="9289" w:type="dxa"/>
            <w:vAlign w:val="center"/>
          </w:tcPr>
          <w:p w14:paraId="082ECCBC">
            <w:pPr>
              <w:ind w:firstLine="480" w:firstLineChars="200"/>
              <w:rPr>
                <w:b/>
                <w:i/>
                <w:u w:val="none"/>
              </w:rPr>
            </w:pPr>
            <w:r>
              <w:rPr>
                <w:u w:val="none"/>
              </w:rPr>
              <w:t>综上所述</w:t>
            </w:r>
            <w:r>
              <w:rPr>
                <w:rFonts w:hint="eastAsia"/>
                <w:u w:val="none"/>
              </w:rPr>
              <w:t>，220千伏果山变电站扩建工程</w:t>
            </w:r>
            <w:r>
              <w:rPr>
                <w:u w:val="none"/>
              </w:rPr>
              <w:t>符合国家产业政策，符合</w:t>
            </w:r>
            <w:r>
              <w:rPr>
                <w:rFonts w:hint="eastAsia"/>
                <w:u w:val="none"/>
              </w:rPr>
              <w:t>《阳和工业新区产业发展规划（2021-2025年）》及《阳和工业新区产业发展规划(2021-2025年)环境影响报告书》</w:t>
            </w:r>
            <w:r>
              <w:rPr>
                <w:rFonts w:hint="eastAsia"/>
                <w:u w:val="none"/>
                <w:lang w:val="en-US" w:eastAsia="zh-CN"/>
              </w:rPr>
              <w:t>要求</w:t>
            </w:r>
            <w:r>
              <w:rPr>
                <w:u w:val="none"/>
              </w:rPr>
              <w:t>，符合电网规划，工程选址合理。在设计和建设过程中采取本环评中提出的各项环境保护措施和生态保护及恢复措施后，各项指标均满足相应标准的要求。</w:t>
            </w:r>
            <w:r>
              <w:rPr>
                <w:b/>
                <w:i/>
                <w:u w:val="none"/>
              </w:rPr>
              <w:t>从</w:t>
            </w:r>
            <w:r>
              <w:rPr>
                <w:rFonts w:hint="eastAsia"/>
                <w:b/>
                <w:i/>
                <w:u w:val="none"/>
                <w:lang w:val="en-US" w:eastAsia="zh-CN"/>
              </w:rPr>
              <w:t>生态</w:t>
            </w:r>
            <w:r>
              <w:rPr>
                <w:b/>
                <w:i/>
                <w:u w:val="none"/>
              </w:rPr>
              <w:t>环境保护角度，本期工程建设是可行的。</w:t>
            </w:r>
          </w:p>
          <w:p w14:paraId="30732CD0">
            <w:pPr>
              <w:ind w:firstLine="480" w:firstLineChars="200"/>
              <w:rPr>
                <w:u w:val="none"/>
              </w:rPr>
            </w:pPr>
          </w:p>
          <w:p w14:paraId="352625A6">
            <w:pPr>
              <w:ind w:firstLine="480" w:firstLineChars="200"/>
              <w:rPr>
                <w:u w:val="none"/>
              </w:rPr>
            </w:pPr>
          </w:p>
          <w:p w14:paraId="335A2CFE">
            <w:pPr>
              <w:ind w:firstLine="480" w:firstLineChars="200"/>
              <w:rPr>
                <w:u w:val="none"/>
              </w:rPr>
            </w:pPr>
          </w:p>
          <w:p w14:paraId="7D279588">
            <w:pPr>
              <w:ind w:firstLine="480" w:firstLineChars="200"/>
              <w:rPr>
                <w:u w:val="none"/>
              </w:rPr>
            </w:pPr>
          </w:p>
          <w:p w14:paraId="700EA508">
            <w:pPr>
              <w:ind w:firstLine="480" w:firstLineChars="200"/>
              <w:rPr>
                <w:u w:val="none"/>
              </w:rPr>
            </w:pPr>
          </w:p>
          <w:p w14:paraId="186F8DD7">
            <w:pPr>
              <w:ind w:firstLine="480" w:firstLineChars="200"/>
              <w:rPr>
                <w:u w:val="none"/>
              </w:rPr>
            </w:pPr>
          </w:p>
          <w:p w14:paraId="1F2F0E3D">
            <w:pPr>
              <w:ind w:firstLine="480" w:firstLineChars="200"/>
              <w:rPr>
                <w:u w:val="none"/>
              </w:rPr>
            </w:pPr>
          </w:p>
          <w:p w14:paraId="467FEBDE">
            <w:pPr>
              <w:ind w:firstLine="480" w:firstLineChars="200"/>
              <w:rPr>
                <w:u w:val="none"/>
              </w:rPr>
            </w:pPr>
          </w:p>
          <w:p w14:paraId="03A2FB97">
            <w:pPr>
              <w:ind w:firstLine="480" w:firstLineChars="200"/>
              <w:rPr>
                <w:u w:val="none"/>
              </w:rPr>
            </w:pPr>
          </w:p>
          <w:p w14:paraId="363F1493">
            <w:pPr>
              <w:ind w:firstLine="480" w:firstLineChars="200"/>
              <w:rPr>
                <w:u w:val="none"/>
              </w:rPr>
            </w:pPr>
          </w:p>
          <w:p w14:paraId="739FFAF7">
            <w:pPr>
              <w:ind w:firstLine="480" w:firstLineChars="200"/>
              <w:rPr>
                <w:u w:val="none"/>
              </w:rPr>
            </w:pPr>
          </w:p>
          <w:p w14:paraId="73733847">
            <w:pPr>
              <w:ind w:firstLine="480" w:firstLineChars="200"/>
              <w:rPr>
                <w:u w:val="none"/>
              </w:rPr>
            </w:pPr>
          </w:p>
          <w:p w14:paraId="10BD4092">
            <w:pPr>
              <w:ind w:firstLine="480" w:firstLineChars="200"/>
              <w:rPr>
                <w:u w:val="none"/>
              </w:rPr>
            </w:pPr>
          </w:p>
          <w:p w14:paraId="5338C44D">
            <w:pPr>
              <w:ind w:firstLine="480" w:firstLineChars="200"/>
              <w:rPr>
                <w:u w:val="none"/>
              </w:rPr>
            </w:pPr>
          </w:p>
          <w:p w14:paraId="24AAEAF5">
            <w:pPr>
              <w:ind w:firstLine="480" w:firstLineChars="200"/>
              <w:rPr>
                <w:u w:val="none"/>
              </w:rPr>
            </w:pPr>
          </w:p>
          <w:p w14:paraId="12B3A85A">
            <w:pPr>
              <w:ind w:firstLine="480" w:firstLineChars="200"/>
              <w:rPr>
                <w:u w:val="none"/>
              </w:rPr>
            </w:pPr>
          </w:p>
          <w:p w14:paraId="52EEF159">
            <w:pPr>
              <w:ind w:firstLine="480" w:firstLineChars="200"/>
              <w:rPr>
                <w:u w:val="none"/>
              </w:rPr>
            </w:pPr>
          </w:p>
          <w:p w14:paraId="19579EFA">
            <w:pPr>
              <w:ind w:firstLine="480" w:firstLineChars="200"/>
              <w:rPr>
                <w:u w:val="none"/>
              </w:rPr>
            </w:pPr>
          </w:p>
          <w:p w14:paraId="45CBE8E8">
            <w:pPr>
              <w:ind w:firstLine="480" w:firstLineChars="200"/>
              <w:rPr>
                <w:u w:val="none"/>
              </w:rPr>
            </w:pPr>
          </w:p>
          <w:p w14:paraId="43B3E0FE">
            <w:pPr>
              <w:rPr>
                <w:u w:val="none"/>
              </w:rPr>
            </w:pPr>
          </w:p>
        </w:tc>
      </w:tr>
    </w:tbl>
    <w:p w14:paraId="3036BCFB">
      <w:pPr>
        <w:adjustRightInd w:val="0"/>
        <w:snapToGrid w:val="0"/>
        <w:rPr>
          <w:b/>
          <w:u w:val="none"/>
        </w:rPr>
      </w:pPr>
      <w:r>
        <w:rPr>
          <w:snapToGrid w:val="0"/>
          <w:u w:val="none"/>
        </w:rPr>
        <w:br w:type="page"/>
      </w:r>
    </w:p>
    <w:p w14:paraId="55AE86AD">
      <w:pPr>
        <w:adjustRightInd w:val="0"/>
        <w:snapToGrid w:val="0"/>
        <w:jc w:val="center"/>
        <w:rPr>
          <w:b/>
          <w:u w:val="none"/>
        </w:rPr>
      </w:pPr>
    </w:p>
    <w:p w14:paraId="3C5EB1BE">
      <w:pPr>
        <w:adjustRightInd w:val="0"/>
        <w:snapToGrid w:val="0"/>
        <w:jc w:val="center"/>
        <w:rPr>
          <w:b/>
          <w:u w:val="none"/>
        </w:rPr>
      </w:pPr>
    </w:p>
    <w:p w14:paraId="325F9B38">
      <w:pPr>
        <w:adjustRightInd w:val="0"/>
        <w:snapToGrid w:val="0"/>
        <w:jc w:val="center"/>
        <w:rPr>
          <w:b/>
          <w:sz w:val="44"/>
          <w:szCs w:val="44"/>
          <w:u w:val="none"/>
        </w:rPr>
      </w:pPr>
    </w:p>
    <w:p w14:paraId="15941559">
      <w:pPr>
        <w:pStyle w:val="2"/>
        <w:rPr>
          <w:sz w:val="52"/>
          <w:szCs w:val="52"/>
          <w:u w:val="none"/>
        </w:rPr>
      </w:pPr>
      <w:r>
        <w:rPr>
          <w:rFonts w:hint="eastAsia"/>
          <w:sz w:val="52"/>
          <w:szCs w:val="52"/>
          <w:u w:val="none"/>
        </w:rPr>
        <w:t>220千伏果山变电站扩建工程</w:t>
      </w:r>
    </w:p>
    <w:p w14:paraId="52D43020">
      <w:pPr>
        <w:pStyle w:val="2"/>
        <w:rPr>
          <w:sz w:val="52"/>
          <w:szCs w:val="52"/>
          <w:u w:val="none"/>
        </w:rPr>
      </w:pPr>
      <w:bookmarkStart w:id="81" w:name="_Toc3608"/>
      <w:bookmarkStart w:id="82" w:name="_Toc2232"/>
      <w:bookmarkStart w:id="83" w:name="_Toc15626"/>
      <w:bookmarkStart w:id="84" w:name="_Toc5069"/>
      <w:bookmarkStart w:id="85" w:name="_Toc18572"/>
      <w:bookmarkStart w:id="86" w:name="_Toc28049"/>
      <w:bookmarkStart w:id="87" w:name="_Toc9163"/>
      <w:bookmarkStart w:id="88" w:name="_Toc14329"/>
      <w:bookmarkStart w:id="89" w:name="_Toc13869"/>
      <w:bookmarkStart w:id="90" w:name="_Toc31811"/>
      <w:bookmarkStart w:id="91" w:name="_Toc11832"/>
      <w:bookmarkStart w:id="92" w:name="_Toc17877829"/>
      <w:r>
        <w:rPr>
          <w:sz w:val="52"/>
          <w:szCs w:val="52"/>
          <w:u w:val="none"/>
        </w:rPr>
        <w:t>电磁环境影响评价专题</w:t>
      </w:r>
      <w:bookmarkEnd w:id="81"/>
      <w:bookmarkEnd w:id="82"/>
      <w:bookmarkEnd w:id="83"/>
      <w:bookmarkEnd w:id="84"/>
      <w:bookmarkEnd w:id="85"/>
      <w:bookmarkEnd w:id="86"/>
      <w:bookmarkEnd w:id="87"/>
      <w:bookmarkEnd w:id="88"/>
      <w:bookmarkEnd w:id="89"/>
      <w:bookmarkEnd w:id="90"/>
      <w:bookmarkEnd w:id="91"/>
      <w:bookmarkEnd w:id="92"/>
    </w:p>
    <w:p w14:paraId="7690FE8A">
      <w:pPr>
        <w:adjustRightInd w:val="0"/>
        <w:snapToGrid w:val="0"/>
        <w:ind w:firstLine="482" w:firstLineChars="200"/>
        <w:rPr>
          <w:b/>
          <w:u w:val="none"/>
        </w:rPr>
      </w:pPr>
    </w:p>
    <w:p w14:paraId="50ABA4DD">
      <w:pPr>
        <w:adjustRightInd w:val="0"/>
        <w:snapToGrid w:val="0"/>
        <w:rPr>
          <w:b/>
          <w:u w:val="none"/>
        </w:rPr>
      </w:pPr>
    </w:p>
    <w:p w14:paraId="6336AE7D">
      <w:pPr>
        <w:adjustRightInd w:val="0"/>
        <w:snapToGrid w:val="0"/>
        <w:rPr>
          <w:b/>
          <w:u w:val="none"/>
        </w:rPr>
      </w:pPr>
    </w:p>
    <w:p w14:paraId="2D5F1646">
      <w:pPr>
        <w:adjustRightInd w:val="0"/>
        <w:snapToGrid w:val="0"/>
        <w:rPr>
          <w:b/>
          <w:u w:val="none"/>
        </w:rPr>
      </w:pPr>
    </w:p>
    <w:p w14:paraId="52BAB2B7">
      <w:pPr>
        <w:adjustRightInd w:val="0"/>
        <w:snapToGrid w:val="0"/>
        <w:rPr>
          <w:b/>
          <w:u w:val="none"/>
        </w:rPr>
      </w:pPr>
    </w:p>
    <w:p w14:paraId="0E2F061E">
      <w:pPr>
        <w:adjustRightInd w:val="0"/>
        <w:snapToGrid w:val="0"/>
        <w:rPr>
          <w:b/>
          <w:u w:val="none"/>
        </w:rPr>
      </w:pPr>
    </w:p>
    <w:p w14:paraId="325E0286">
      <w:pPr>
        <w:adjustRightInd w:val="0"/>
        <w:snapToGrid w:val="0"/>
        <w:rPr>
          <w:b/>
          <w:u w:val="none"/>
        </w:rPr>
      </w:pPr>
    </w:p>
    <w:p w14:paraId="0F793AF1">
      <w:pPr>
        <w:adjustRightInd w:val="0"/>
        <w:snapToGrid w:val="0"/>
        <w:rPr>
          <w:b/>
          <w:u w:val="none"/>
        </w:rPr>
      </w:pPr>
    </w:p>
    <w:p w14:paraId="59E3478E">
      <w:pPr>
        <w:adjustRightInd w:val="0"/>
        <w:snapToGrid w:val="0"/>
        <w:rPr>
          <w:b/>
          <w:u w:val="none"/>
        </w:rPr>
      </w:pPr>
    </w:p>
    <w:p w14:paraId="15705CE8">
      <w:pPr>
        <w:adjustRightInd w:val="0"/>
        <w:snapToGrid w:val="0"/>
        <w:rPr>
          <w:b/>
          <w:u w:val="none"/>
        </w:rPr>
      </w:pPr>
    </w:p>
    <w:p w14:paraId="2CD0B1D1">
      <w:pPr>
        <w:adjustRightInd w:val="0"/>
        <w:snapToGrid w:val="0"/>
        <w:rPr>
          <w:b/>
          <w:u w:val="none"/>
        </w:rPr>
      </w:pPr>
    </w:p>
    <w:p w14:paraId="55468444">
      <w:pPr>
        <w:adjustRightInd w:val="0"/>
        <w:snapToGrid w:val="0"/>
        <w:rPr>
          <w:b/>
          <w:u w:val="none"/>
        </w:rPr>
      </w:pPr>
    </w:p>
    <w:p w14:paraId="0CF8BE2E">
      <w:pPr>
        <w:adjustRightInd w:val="0"/>
        <w:snapToGrid w:val="0"/>
        <w:spacing w:line="480" w:lineRule="auto"/>
        <w:rPr>
          <w:b/>
          <w:snapToGrid w:val="0"/>
          <w:kern w:val="0"/>
          <w:sz w:val="28"/>
          <w:szCs w:val="28"/>
          <w:u w:val="none"/>
        </w:rPr>
      </w:pPr>
      <w:r>
        <w:rPr>
          <w:b/>
          <w:snapToGrid w:val="0"/>
          <w:kern w:val="0"/>
          <w:sz w:val="28"/>
          <w:szCs w:val="28"/>
          <w:u w:val="none"/>
        </w:rPr>
        <w:t>编制单位：中国电力工程顾问集团东北电力设计院有限公司</w:t>
      </w:r>
    </w:p>
    <w:p w14:paraId="0C4AFCA0">
      <w:pPr>
        <w:adjustRightInd w:val="0"/>
        <w:snapToGrid w:val="0"/>
        <w:spacing w:line="480" w:lineRule="auto"/>
        <w:rPr>
          <w:b/>
          <w:snapToGrid w:val="0"/>
          <w:kern w:val="0"/>
          <w:sz w:val="28"/>
          <w:szCs w:val="28"/>
          <w:u w:val="none"/>
        </w:rPr>
      </w:pPr>
      <w:r>
        <w:rPr>
          <w:b/>
          <w:snapToGrid w:val="0"/>
          <w:kern w:val="0"/>
          <w:sz w:val="28"/>
          <w:szCs w:val="28"/>
          <w:u w:val="none"/>
        </w:rPr>
        <w:t>编制日期：202</w:t>
      </w:r>
      <w:r>
        <w:rPr>
          <w:rFonts w:hint="eastAsia"/>
          <w:b/>
          <w:snapToGrid w:val="0"/>
          <w:kern w:val="0"/>
          <w:sz w:val="28"/>
          <w:szCs w:val="28"/>
          <w:u w:val="none"/>
          <w:lang w:val="en-US" w:eastAsia="zh-CN"/>
        </w:rPr>
        <w:t>5</w:t>
      </w:r>
      <w:r>
        <w:rPr>
          <w:b/>
          <w:snapToGrid w:val="0"/>
          <w:kern w:val="0"/>
          <w:sz w:val="28"/>
          <w:szCs w:val="28"/>
          <w:u w:val="none"/>
        </w:rPr>
        <w:t>年</w:t>
      </w:r>
      <w:r>
        <w:rPr>
          <w:rFonts w:hint="eastAsia"/>
          <w:b/>
          <w:snapToGrid w:val="0"/>
          <w:kern w:val="0"/>
          <w:sz w:val="28"/>
          <w:szCs w:val="28"/>
          <w:u w:val="none"/>
          <w:lang w:val="en-US" w:eastAsia="zh-CN"/>
        </w:rPr>
        <w:t>5</w:t>
      </w:r>
      <w:r>
        <w:rPr>
          <w:b/>
          <w:snapToGrid w:val="0"/>
          <w:kern w:val="0"/>
          <w:sz w:val="28"/>
          <w:szCs w:val="28"/>
          <w:u w:val="none"/>
        </w:rPr>
        <w:t>月</w:t>
      </w:r>
    </w:p>
    <w:p w14:paraId="1E58F772">
      <w:pPr>
        <w:adjustRightInd w:val="0"/>
        <w:snapToGrid w:val="0"/>
        <w:rPr>
          <w:b/>
          <w:u w:val="none"/>
        </w:rPr>
      </w:pPr>
    </w:p>
    <w:p w14:paraId="7C1776FE">
      <w:pPr>
        <w:adjustRightInd w:val="0"/>
        <w:snapToGrid w:val="0"/>
        <w:rPr>
          <w:b/>
          <w:u w:val="none"/>
        </w:rPr>
      </w:pPr>
    </w:p>
    <w:p w14:paraId="6F1494D7">
      <w:pPr>
        <w:pStyle w:val="13"/>
        <w:rPr>
          <w:sz w:val="24"/>
          <w:szCs w:val="24"/>
          <w:u w:val="none"/>
        </w:rPr>
      </w:pPr>
    </w:p>
    <w:p w14:paraId="6C507003">
      <w:pPr>
        <w:pStyle w:val="13"/>
        <w:rPr>
          <w:sz w:val="24"/>
          <w:szCs w:val="24"/>
          <w:u w:val="none"/>
        </w:rPr>
      </w:pPr>
    </w:p>
    <w:p w14:paraId="15B9A74E">
      <w:pPr>
        <w:pStyle w:val="13"/>
        <w:rPr>
          <w:sz w:val="24"/>
          <w:szCs w:val="24"/>
          <w:u w:val="none"/>
        </w:rPr>
      </w:pPr>
    </w:p>
    <w:p w14:paraId="11FCE9A9">
      <w:pPr>
        <w:pStyle w:val="13"/>
        <w:rPr>
          <w:sz w:val="24"/>
          <w:szCs w:val="24"/>
          <w:u w:val="none"/>
        </w:rPr>
      </w:pPr>
    </w:p>
    <w:p w14:paraId="32BD1B35">
      <w:pPr>
        <w:pStyle w:val="13"/>
        <w:rPr>
          <w:sz w:val="24"/>
          <w:szCs w:val="24"/>
          <w:u w:val="none"/>
        </w:rPr>
      </w:pPr>
    </w:p>
    <w:p w14:paraId="4EB093CD">
      <w:pPr>
        <w:pStyle w:val="13"/>
        <w:rPr>
          <w:sz w:val="24"/>
          <w:szCs w:val="24"/>
          <w:u w:val="none"/>
        </w:rPr>
      </w:pPr>
    </w:p>
    <w:p w14:paraId="0F679E5E">
      <w:pPr>
        <w:pStyle w:val="13"/>
        <w:rPr>
          <w:sz w:val="24"/>
          <w:szCs w:val="24"/>
          <w:u w:val="none"/>
        </w:rPr>
      </w:pPr>
    </w:p>
    <w:p w14:paraId="740D334C">
      <w:pPr>
        <w:pStyle w:val="13"/>
        <w:rPr>
          <w:sz w:val="24"/>
          <w:szCs w:val="24"/>
          <w:u w:val="none"/>
        </w:rPr>
      </w:pPr>
    </w:p>
    <w:p w14:paraId="398239E3">
      <w:pPr>
        <w:spacing w:line="240" w:lineRule="auto"/>
        <w:jc w:val="center"/>
        <w:rPr>
          <w:b/>
          <w:bCs/>
          <w:sz w:val="30"/>
          <w:szCs w:val="30"/>
          <w:u w:val="none"/>
        </w:rPr>
      </w:pPr>
      <w:r>
        <w:rPr>
          <w:rFonts w:ascii="宋体" w:hAnsi="宋体"/>
          <w:b/>
          <w:bCs/>
          <w:sz w:val="30"/>
          <w:szCs w:val="30"/>
          <w:u w:val="none"/>
        </w:rPr>
        <w:t>目录</w:t>
      </w:r>
    </w:p>
    <w:p w14:paraId="5475DE2D">
      <w:pPr>
        <w:pStyle w:val="15"/>
        <w:tabs>
          <w:tab w:val="right" w:leader="dot" w:pos="9070"/>
        </w:tabs>
        <w:rPr>
          <w:u w:val="none"/>
        </w:rPr>
      </w:pPr>
      <w:r>
        <w:rPr>
          <w:u w:val="none"/>
        </w:rPr>
        <w:fldChar w:fldCharType="begin"/>
      </w:r>
      <w:r>
        <w:rPr>
          <w:u w:val="none"/>
        </w:rPr>
        <w:instrText xml:space="preserve">TOC \o "1-2" \h \u </w:instrText>
      </w:r>
      <w:r>
        <w:rPr>
          <w:u w:val="none"/>
        </w:rPr>
        <w:fldChar w:fldCharType="separate"/>
      </w:r>
    </w:p>
    <w:p w14:paraId="6911DB58">
      <w:pPr>
        <w:pStyle w:val="15"/>
        <w:tabs>
          <w:tab w:val="right" w:leader="dot" w:pos="9070"/>
        </w:tabs>
        <w:rPr>
          <w:u w:val="none"/>
        </w:rPr>
      </w:pPr>
      <w:r>
        <w:rPr>
          <w:szCs w:val="24"/>
          <w:u w:val="none"/>
        </w:rPr>
        <w:fldChar w:fldCharType="begin"/>
      </w:r>
      <w:r>
        <w:rPr>
          <w:szCs w:val="24"/>
          <w:u w:val="none"/>
        </w:rPr>
        <w:instrText xml:space="preserve"> HYPERLINK \l _Toc28358 </w:instrText>
      </w:r>
      <w:r>
        <w:rPr>
          <w:szCs w:val="24"/>
          <w:u w:val="none"/>
        </w:rPr>
        <w:fldChar w:fldCharType="separate"/>
      </w:r>
      <w:r>
        <w:rPr>
          <w:rFonts w:ascii="Times New Roman" w:hAnsi="Times New Roman"/>
          <w:szCs w:val="24"/>
          <w:u w:val="none"/>
        </w:rPr>
        <w:t>1总则</w:t>
      </w:r>
      <w:r>
        <w:rPr>
          <w:u w:val="none"/>
        </w:rPr>
        <w:tab/>
      </w:r>
      <w:r>
        <w:rPr>
          <w:u w:val="none"/>
        </w:rPr>
        <w:fldChar w:fldCharType="begin"/>
      </w:r>
      <w:r>
        <w:rPr>
          <w:u w:val="none"/>
        </w:rPr>
        <w:instrText xml:space="preserve"> PAGEREF _Toc28358 \h </w:instrText>
      </w:r>
      <w:r>
        <w:rPr>
          <w:u w:val="none"/>
        </w:rPr>
        <w:fldChar w:fldCharType="separate"/>
      </w:r>
      <w:r>
        <w:rPr>
          <w:u w:val="none"/>
        </w:rPr>
        <w:t>44</w:t>
      </w:r>
      <w:r>
        <w:rPr>
          <w:u w:val="none"/>
        </w:rPr>
        <w:fldChar w:fldCharType="end"/>
      </w:r>
      <w:r>
        <w:rPr>
          <w:szCs w:val="24"/>
          <w:u w:val="none"/>
        </w:rPr>
        <w:fldChar w:fldCharType="end"/>
      </w:r>
    </w:p>
    <w:p w14:paraId="1FDFB77F">
      <w:pPr>
        <w:pStyle w:val="16"/>
        <w:tabs>
          <w:tab w:val="right" w:leader="dot" w:pos="9070"/>
        </w:tabs>
        <w:rPr>
          <w:u w:val="none"/>
        </w:rPr>
      </w:pPr>
      <w:r>
        <w:rPr>
          <w:szCs w:val="24"/>
          <w:u w:val="none"/>
        </w:rPr>
        <w:fldChar w:fldCharType="begin"/>
      </w:r>
      <w:r>
        <w:rPr>
          <w:szCs w:val="24"/>
          <w:u w:val="none"/>
        </w:rPr>
        <w:instrText xml:space="preserve"> HYPERLINK \l _Toc7767 </w:instrText>
      </w:r>
      <w:r>
        <w:rPr>
          <w:szCs w:val="24"/>
          <w:u w:val="none"/>
        </w:rPr>
        <w:fldChar w:fldCharType="separate"/>
      </w:r>
      <w:r>
        <w:rPr>
          <w:rFonts w:ascii="Times New Roman" w:hAnsi="Times New Roman"/>
          <w:szCs w:val="24"/>
          <w:u w:val="none"/>
        </w:rPr>
        <w:t>1.1评价因子</w:t>
      </w:r>
      <w:r>
        <w:rPr>
          <w:u w:val="none"/>
        </w:rPr>
        <w:tab/>
      </w:r>
      <w:r>
        <w:rPr>
          <w:u w:val="none"/>
        </w:rPr>
        <w:fldChar w:fldCharType="begin"/>
      </w:r>
      <w:r>
        <w:rPr>
          <w:u w:val="none"/>
        </w:rPr>
        <w:instrText xml:space="preserve"> PAGEREF _Toc7767 \h </w:instrText>
      </w:r>
      <w:r>
        <w:rPr>
          <w:u w:val="none"/>
        </w:rPr>
        <w:fldChar w:fldCharType="separate"/>
      </w:r>
      <w:r>
        <w:rPr>
          <w:u w:val="none"/>
        </w:rPr>
        <w:t>45</w:t>
      </w:r>
      <w:r>
        <w:rPr>
          <w:u w:val="none"/>
        </w:rPr>
        <w:fldChar w:fldCharType="end"/>
      </w:r>
      <w:r>
        <w:rPr>
          <w:szCs w:val="24"/>
          <w:u w:val="none"/>
        </w:rPr>
        <w:fldChar w:fldCharType="end"/>
      </w:r>
    </w:p>
    <w:p w14:paraId="43D4051F">
      <w:pPr>
        <w:pStyle w:val="16"/>
        <w:tabs>
          <w:tab w:val="right" w:leader="dot" w:pos="9070"/>
        </w:tabs>
        <w:rPr>
          <w:u w:val="none"/>
        </w:rPr>
      </w:pPr>
      <w:r>
        <w:rPr>
          <w:szCs w:val="24"/>
          <w:u w:val="none"/>
        </w:rPr>
        <w:fldChar w:fldCharType="begin"/>
      </w:r>
      <w:r>
        <w:rPr>
          <w:szCs w:val="24"/>
          <w:u w:val="none"/>
        </w:rPr>
        <w:instrText xml:space="preserve"> HYPERLINK \l _Toc22535 </w:instrText>
      </w:r>
      <w:r>
        <w:rPr>
          <w:szCs w:val="24"/>
          <w:u w:val="none"/>
        </w:rPr>
        <w:fldChar w:fldCharType="separate"/>
      </w:r>
      <w:r>
        <w:rPr>
          <w:rFonts w:ascii="Times New Roman" w:hAnsi="Times New Roman"/>
          <w:szCs w:val="24"/>
          <w:u w:val="none"/>
        </w:rPr>
        <w:t>1.</w:t>
      </w:r>
      <w:r>
        <w:rPr>
          <w:rFonts w:hint="eastAsia" w:ascii="Times New Roman" w:hAnsi="Times New Roman"/>
          <w:szCs w:val="24"/>
          <w:u w:val="none"/>
        </w:rPr>
        <w:t>3</w:t>
      </w:r>
      <w:r>
        <w:rPr>
          <w:rFonts w:ascii="Times New Roman" w:hAnsi="Times New Roman"/>
          <w:szCs w:val="24"/>
          <w:u w:val="none"/>
        </w:rPr>
        <w:t>评价标准</w:t>
      </w:r>
      <w:r>
        <w:rPr>
          <w:u w:val="none"/>
        </w:rPr>
        <w:tab/>
      </w:r>
      <w:r>
        <w:rPr>
          <w:u w:val="none"/>
        </w:rPr>
        <w:fldChar w:fldCharType="begin"/>
      </w:r>
      <w:r>
        <w:rPr>
          <w:u w:val="none"/>
        </w:rPr>
        <w:instrText xml:space="preserve"> PAGEREF _Toc22535 \h </w:instrText>
      </w:r>
      <w:r>
        <w:rPr>
          <w:u w:val="none"/>
        </w:rPr>
        <w:fldChar w:fldCharType="separate"/>
      </w:r>
      <w:r>
        <w:rPr>
          <w:u w:val="none"/>
        </w:rPr>
        <w:t>45</w:t>
      </w:r>
      <w:r>
        <w:rPr>
          <w:u w:val="none"/>
        </w:rPr>
        <w:fldChar w:fldCharType="end"/>
      </w:r>
      <w:r>
        <w:rPr>
          <w:szCs w:val="24"/>
          <w:u w:val="none"/>
        </w:rPr>
        <w:fldChar w:fldCharType="end"/>
      </w:r>
    </w:p>
    <w:p w14:paraId="37A3847A">
      <w:pPr>
        <w:pStyle w:val="16"/>
        <w:tabs>
          <w:tab w:val="right" w:leader="dot" w:pos="9070"/>
        </w:tabs>
        <w:rPr>
          <w:u w:val="none"/>
        </w:rPr>
      </w:pPr>
      <w:r>
        <w:rPr>
          <w:szCs w:val="24"/>
          <w:u w:val="none"/>
        </w:rPr>
        <w:fldChar w:fldCharType="begin"/>
      </w:r>
      <w:r>
        <w:rPr>
          <w:szCs w:val="24"/>
          <w:u w:val="none"/>
        </w:rPr>
        <w:instrText xml:space="preserve"> HYPERLINK \l _Toc27652 </w:instrText>
      </w:r>
      <w:r>
        <w:rPr>
          <w:szCs w:val="24"/>
          <w:u w:val="none"/>
        </w:rPr>
        <w:fldChar w:fldCharType="separate"/>
      </w:r>
      <w:r>
        <w:rPr>
          <w:rFonts w:ascii="Times New Roman" w:hAnsi="Times New Roman"/>
          <w:bCs/>
          <w:kern w:val="2"/>
          <w:szCs w:val="24"/>
          <w:u w:val="none"/>
        </w:rPr>
        <w:t>1.</w:t>
      </w:r>
      <w:r>
        <w:rPr>
          <w:rFonts w:hint="eastAsia" w:ascii="Times New Roman" w:hAnsi="Times New Roman"/>
          <w:bCs/>
          <w:kern w:val="2"/>
          <w:szCs w:val="24"/>
          <w:u w:val="none"/>
        </w:rPr>
        <w:t>4</w:t>
      </w:r>
      <w:r>
        <w:rPr>
          <w:rFonts w:ascii="Times New Roman" w:hAnsi="Times New Roman"/>
          <w:bCs/>
          <w:kern w:val="2"/>
          <w:szCs w:val="24"/>
          <w:u w:val="none"/>
        </w:rPr>
        <w:t>评价工作等级</w:t>
      </w:r>
      <w:r>
        <w:rPr>
          <w:u w:val="none"/>
        </w:rPr>
        <w:tab/>
      </w:r>
      <w:r>
        <w:rPr>
          <w:u w:val="none"/>
        </w:rPr>
        <w:fldChar w:fldCharType="begin"/>
      </w:r>
      <w:r>
        <w:rPr>
          <w:u w:val="none"/>
        </w:rPr>
        <w:instrText xml:space="preserve"> PAGEREF _Toc27652 \h </w:instrText>
      </w:r>
      <w:r>
        <w:rPr>
          <w:u w:val="none"/>
        </w:rPr>
        <w:fldChar w:fldCharType="separate"/>
      </w:r>
      <w:r>
        <w:rPr>
          <w:u w:val="none"/>
        </w:rPr>
        <w:t>45</w:t>
      </w:r>
      <w:r>
        <w:rPr>
          <w:u w:val="none"/>
        </w:rPr>
        <w:fldChar w:fldCharType="end"/>
      </w:r>
      <w:r>
        <w:rPr>
          <w:szCs w:val="24"/>
          <w:u w:val="none"/>
        </w:rPr>
        <w:fldChar w:fldCharType="end"/>
      </w:r>
    </w:p>
    <w:p w14:paraId="42572F09">
      <w:pPr>
        <w:pStyle w:val="16"/>
        <w:tabs>
          <w:tab w:val="right" w:leader="dot" w:pos="9070"/>
        </w:tabs>
        <w:rPr>
          <w:u w:val="none"/>
        </w:rPr>
      </w:pPr>
      <w:r>
        <w:rPr>
          <w:szCs w:val="24"/>
          <w:u w:val="none"/>
        </w:rPr>
        <w:fldChar w:fldCharType="begin"/>
      </w:r>
      <w:r>
        <w:rPr>
          <w:szCs w:val="24"/>
          <w:u w:val="none"/>
        </w:rPr>
        <w:instrText xml:space="preserve"> HYPERLINK \l _Toc24149 </w:instrText>
      </w:r>
      <w:r>
        <w:rPr>
          <w:szCs w:val="24"/>
          <w:u w:val="none"/>
        </w:rPr>
        <w:fldChar w:fldCharType="separate"/>
      </w:r>
      <w:r>
        <w:rPr>
          <w:rFonts w:ascii="Times New Roman" w:hAnsi="Times New Roman"/>
          <w:bCs/>
          <w:kern w:val="2"/>
          <w:szCs w:val="24"/>
          <w:u w:val="none"/>
        </w:rPr>
        <w:t>1.</w:t>
      </w:r>
      <w:r>
        <w:rPr>
          <w:rFonts w:hint="eastAsia" w:ascii="Times New Roman" w:hAnsi="Times New Roman"/>
          <w:bCs/>
          <w:kern w:val="2"/>
          <w:szCs w:val="24"/>
          <w:u w:val="none"/>
        </w:rPr>
        <w:t>5</w:t>
      </w:r>
      <w:r>
        <w:rPr>
          <w:rFonts w:ascii="Times New Roman" w:hAnsi="Times New Roman"/>
          <w:bCs/>
          <w:kern w:val="2"/>
          <w:szCs w:val="24"/>
          <w:u w:val="none"/>
        </w:rPr>
        <w:t>评价范围</w:t>
      </w:r>
      <w:r>
        <w:rPr>
          <w:u w:val="none"/>
        </w:rPr>
        <w:tab/>
      </w:r>
      <w:r>
        <w:rPr>
          <w:u w:val="none"/>
        </w:rPr>
        <w:fldChar w:fldCharType="begin"/>
      </w:r>
      <w:r>
        <w:rPr>
          <w:u w:val="none"/>
        </w:rPr>
        <w:instrText xml:space="preserve"> PAGEREF _Toc24149 \h </w:instrText>
      </w:r>
      <w:r>
        <w:rPr>
          <w:u w:val="none"/>
        </w:rPr>
        <w:fldChar w:fldCharType="separate"/>
      </w:r>
      <w:r>
        <w:rPr>
          <w:u w:val="none"/>
        </w:rPr>
        <w:t>45</w:t>
      </w:r>
      <w:r>
        <w:rPr>
          <w:u w:val="none"/>
        </w:rPr>
        <w:fldChar w:fldCharType="end"/>
      </w:r>
      <w:r>
        <w:rPr>
          <w:szCs w:val="24"/>
          <w:u w:val="none"/>
        </w:rPr>
        <w:fldChar w:fldCharType="end"/>
      </w:r>
    </w:p>
    <w:p w14:paraId="51F4FB33">
      <w:pPr>
        <w:pStyle w:val="16"/>
        <w:tabs>
          <w:tab w:val="right" w:leader="dot" w:pos="9070"/>
        </w:tabs>
        <w:rPr>
          <w:u w:val="none"/>
        </w:rPr>
      </w:pPr>
      <w:r>
        <w:rPr>
          <w:szCs w:val="24"/>
          <w:u w:val="none"/>
        </w:rPr>
        <w:fldChar w:fldCharType="begin"/>
      </w:r>
      <w:r>
        <w:rPr>
          <w:szCs w:val="24"/>
          <w:u w:val="none"/>
        </w:rPr>
        <w:instrText xml:space="preserve"> HYPERLINK \l _Toc26684 </w:instrText>
      </w:r>
      <w:r>
        <w:rPr>
          <w:szCs w:val="24"/>
          <w:u w:val="none"/>
        </w:rPr>
        <w:fldChar w:fldCharType="separate"/>
      </w:r>
      <w:r>
        <w:rPr>
          <w:rFonts w:ascii="Times New Roman" w:hAnsi="Times New Roman"/>
          <w:bCs/>
          <w:kern w:val="2"/>
          <w:szCs w:val="24"/>
          <w:u w:val="none"/>
        </w:rPr>
        <w:t>1.</w:t>
      </w:r>
      <w:r>
        <w:rPr>
          <w:rFonts w:hint="eastAsia" w:ascii="Times New Roman" w:hAnsi="Times New Roman"/>
          <w:bCs/>
          <w:kern w:val="2"/>
          <w:szCs w:val="24"/>
          <w:u w:val="none"/>
        </w:rPr>
        <w:t>6</w:t>
      </w:r>
      <w:r>
        <w:rPr>
          <w:rFonts w:ascii="Times New Roman" w:hAnsi="Times New Roman"/>
          <w:bCs/>
          <w:kern w:val="2"/>
          <w:szCs w:val="24"/>
          <w:u w:val="none"/>
        </w:rPr>
        <w:t>环境敏感目标</w:t>
      </w:r>
      <w:r>
        <w:rPr>
          <w:u w:val="none"/>
        </w:rPr>
        <w:tab/>
      </w:r>
      <w:r>
        <w:rPr>
          <w:u w:val="none"/>
        </w:rPr>
        <w:fldChar w:fldCharType="begin"/>
      </w:r>
      <w:r>
        <w:rPr>
          <w:u w:val="none"/>
        </w:rPr>
        <w:instrText xml:space="preserve"> PAGEREF _Toc26684 \h </w:instrText>
      </w:r>
      <w:r>
        <w:rPr>
          <w:u w:val="none"/>
        </w:rPr>
        <w:fldChar w:fldCharType="separate"/>
      </w:r>
      <w:r>
        <w:rPr>
          <w:u w:val="none"/>
        </w:rPr>
        <w:t>45</w:t>
      </w:r>
      <w:r>
        <w:rPr>
          <w:u w:val="none"/>
        </w:rPr>
        <w:fldChar w:fldCharType="end"/>
      </w:r>
      <w:r>
        <w:rPr>
          <w:szCs w:val="24"/>
          <w:u w:val="none"/>
        </w:rPr>
        <w:fldChar w:fldCharType="end"/>
      </w:r>
    </w:p>
    <w:p w14:paraId="6C0C22F9">
      <w:pPr>
        <w:pStyle w:val="15"/>
        <w:tabs>
          <w:tab w:val="right" w:leader="dot" w:pos="9070"/>
        </w:tabs>
        <w:rPr>
          <w:u w:val="none"/>
        </w:rPr>
      </w:pPr>
      <w:r>
        <w:rPr>
          <w:szCs w:val="24"/>
          <w:u w:val="none"/>
        </w:rPr>
        <w:fldChar w:fldCharType="begin"/>
      </w:r>
      <w:r>
        <w:rPr>
          <w:szCs w:val="24"/>
          <w:u w:val="none"/>
        </w:rPr>
        <w:instrText xml:space="preserve"> HYPERLINK \l _Toc9447 </w:instrText>
      </w:r>
      <w:r>
        <w:rPr>
          <w:szCs w:val="24"/>
          <w:u w:val="none"/>
        </w:rPr>
        <w:fldChar w:fldCharType="separate"/>
      </w:r>
      <w:r>
        <w:rPr>
          <w:rFonts w:ascii="Times New Roman" w:hAnsi="Times New Roman"/>
          <w:szCs w:val="24"/>
          <w:u w:val="none"/>
        </w:rPr>
        <w:t>2电磁环境影响评价</w:t>
      </w:r>
      <w:r>
        <w:rPr>
          <w:u w:val="none"/>
        </w:rPr>
        <w:tab/>
      </w:r>
      <w:r>
        <w:rPr>
          <w:u w:val="none"/>
        </w:rPr>
        <w:fldChar w:fldCharType="begin"/>
      </w:r>
      <w:r>
        <w:rPr>
          <w:u w:val="none"/>
        </w:rPr>
        <w:instrText xml:space="preserve"> PAGEREF _Toc9447 \h </w:instrText>
      </w:r>
      <w:r>
        <w:rPr>
          <w:u w:val="none"/>
        </w:rPr>
        <w:fldChar w:fldCharType="separate"/>
      </w:r>
      <w:r>
        <w:rPr>
          <w:u w:val="none"/>
        </w:rPr>
        <w:t>45</w:t>
      </w:r>
      <w:r>
        <w:rPr>
          <w:u w:val="none"/>
        </w:rPr>
        <w:fldChar w:fldCharType="end"/>
      </w:r>
      <w:r>
        <w:rPr>
          <w:szCs w:val="24"/>
          <w:u w:val="none"/>
        </w:rPr>
        <w:fldChar w:fldCharType="end"/>
      </w:r>
    </w:p>
    <w:p w14:paraId="3F7078CB">
      <w:pPr>
        <w:pStyle w:val="16"/>
        <w:tabs>
          <w:tab w:val="right" w:leader="dot" w:pos="9070"/>
        </w:tabs>
        <w:rPr>
          <w:u w:val="none"/>
        </w:rPr>
      </w:pPr>
      <w:r>
        <w:rPr>
          <w:szCs w:val="24"/>
          <w:u w:val="none"/>
        </w:rPr>
        <w:fldChar w:fldCharType="begin"/>
      </w:r>
      <w:r>
        <w:rPr>
          <w:szCs w:val="24"/>
          <w:u w:val="none"/>
        </w:rPr>
        <w:instrText xml:space="preserve"> HYPERLINK \l _Toc10484 </w:instrText>
      </w:r>
      <w:r>
        <w:rPr>
          <w:szCs w:val="24"/>
          <w:u w:val="none"/>
        </w:rPr>
        <w:fldChar w:fldCharType="separate"/>
      </w:r>
      <w:r>
        <w:rPr>
          <w:rFonts w:ascii="Times New Roman" w:hAnsi="Times New Roman"/>
          <w:bCs/>
          <w:kern w:val="2"/>
          <w:szCs w:val="24"/>
          <w:u w:val="none"/>
        </w:rPr>
        <w:t>2.1电磁环境现状评价</w:t>
      </w:r>
      <w:r>
        <w:rPr>
          <w:u w:val="none"/>
        </w:rPr>
        <w:tab/>
      </w:r>
      <w:r>
        <w:rPr>
          <w:u w:val="none"/>
        </w:rPr>
        <w:fldChar w:fldCharType="begin"/>
      </w:r>
      <w:r>
        <w:rPr>
          <w:u w:val="none"/>
        </w:rPr>
        <w:instrText xml:space="preserve"> PAGEREF _Toc10484 \h </w:instrText>
      </w:r>
      <w:r>
        <w:rPr>
          <w:u w:val="none"/>
        </w:rPr>
        <w:fldChar w:fldCharType="separate"/>
      </w:r>
      <w:r>
        <w:rPr>
          <w:u w:val="none"/>
        </w:rPr>
        <w:t>45</w:t>
      </w:r>
      <w:r>
        <w:rPr>
          <w:u w:val="none"/>
        </w:rPr>
        <w:fldChar w:fldCharType="end"/>
      </w:r>
      <w:r>
        <w:rPr>
          <w:szCs w:val="24"/>
          <w:u w:val="none"/>
        </w:rPr>
        <w:fldChar w:fldCharType="end"/>
      </w:r>
    </w:p>
    <w:p w14:paraId="29B7DEF3">
      <w:pPr>
        <w:pStyle w:val="16"/>
        <w:tabs>
          <w:tab w:val="right" w:leader="dot" w:pos="9070"/>
        </w:tabs>
        <w:rPr>
          <w:u w:val="none"/>
        </w:rPr>
      </w:pPr>
      <w:r>
        <w:rPr>
          <w:szCs w:val="24"/>
          <w:u w:val="none"/>
        </w:rPr>
        <w:fldChar w:fldCharType="begin"/>
      </w:r>
      <w:r>
        <w:rPr>
          <w:szCs w:val="24"/>
          <w:u w:val="none"/>
        </w:rPr>
        <w:instrText xml:space="preserve"> HYPERLINK \l _Toc21266 </w:instrText>
      </w:r>
      <w:r>
        <w:rPr>
          <w:szCs w:val="24"/>
          <w:u w:val="none"/>
        </w:rPr>
        <w:fldChar w:fldCharType="separate"/>
      </w:r>
      <w:r>
        <w:rPr>
          <w:rFonts w:ascii="Times New Roman" w:hAnsi="Times New Roman"/>
          <w:szCs w:val="24"/>
          <w:u w:val="none"/>
        </w:rPr>
        <w:t>2.2电磁环境影响预测与评价</w:t>
      </w:r>
      <w:r>
        <w:rPr>
          <w:u w:val="none"/>
        </w:rPr>
        <w:tab/>
      </w:r>
      <w:r>
        <w:rPr>
          <w:u w:val="none"/>
        </w:rPr>
        <w:fldChar w:fldCharType="begin"/>
      </w:r>
      <w:r>
        <w:rPr>
          <w:u w:val="none"/>
        </w:rPr>
        <w:instrText xml:space="preserve"> PAGEREF _Toc21266 \h </w:instrText>
      </w:r>
      <w:r>
        <w:rPr>
          <w:u w:val="none"/>
        </w:rPr>
        <w:fldChar w:fldCharType="separate"/>
      </w:r>
      <w:r>
        <w:rPr>
          <w:u w:val="none"/>
        </w:rPr>
        <w:t>47</w:t>
      </w:r>
      <w:r>
        <w:rPr>
          <w:u w:val="none"/>
        </w:rPr>
        <w:fldChar w:fldCharType="end"/>
      </w:r>
      <w:r>
        <w:rPr>
          <w:szCs w:val="24"/>
          <w:u w:val="none"/>
        </w:rPr>
        <w:fldChar w:fldCharType="end"/>
      </w:r>
    </w:p>
    <w:p w14:paraId="76FDF023">
      <w:pPr>
        <w:pStyle w:val="15"/>
        <w:tabs>
          <w:tab w:val="right" w:leader="dot" w:pos="9070"/>
        </w:tabs>
        <w:rPr>
          <w:u w:val="none"/>
        </w:rPr>
      </w:pPr>
      <w:r>
        <w:rPr>
          <w:szCs w:val="24"/>
          <w:u w:val="none"/>
        </w:rPr>
        <w:fldChar w:fldCharType="begin"/>
      </w:r>
      <w:r>
        <w:rPr>
          <w:szCs w:val="24"/>
          <w:u w:val="none"/>
        </w:rPr>
        <w:instrText xml:space="preserve"> HYPERLINK \l _Toc17562 </w:instrText>
      </w:r>
      <w:r>
        <w:rPr>
          <w:szCs w:val="24"/>
          <w:u w:val="none"/>
        </w:rPr>
        <w:fldChar w:fldCharType="separate"/>
      </w:r>
      <w:r>
        <w:rPr>
          <w:rFonts w:ascii="Times New Roman" w:hAnsi="Times New Roman"/>
          <w:szCs w:val="24"/>
          <w:u w:val="none"/>
        </w:rPr>
        <w:t>3电磁环境保护措施</w:t>
      </w:r>
      <w:r>
        <w:rPr>
          <w:u w:val="none"/>
        </w:rPr>
        <w:tab/>
      </w:r>
      <w:r>
        <w:rPr>
          <w:u w:val="none"/>
        </w:rPr>
        <w:fldChar w:fldCharType="begin"/>
      </w:r>
      <w:r>
        <w:rPr>
          <w:u w:val="none"/>
        </w:rPr>
        <w:instrText xml:space="preserve"> PAGEREF _Toc17562 \h </w:instrText>
      </w:r>
      <w:r>
        <w:rPr>
          <w:u w:val="none"/>
        </w:rPr>
        <w:fldChar w:fldCharType="separate"/>
      </w:r>
      <w:r>
        <w:rPr>
          <w:u w:val="none"/>
        </w:rPr>
        <w:t>50</w:t>
      </w:r>
      <w:r>
        <w:rPr>
          <w:u w:val="none"/>
        </w:rPr>
        <w:fldChar w:fldCharType="end"/>
      </w:r>
      <w:r>
        <w:rPr>
          <w:szCs w:val="24"/>
          <w:u w:val="none"/>
        </w:rPr>
        <w:fldChar w:fldCharType="end"/>
      </w:r>
    </w:p>
    <w:p w14:paraId="0C410EF7">
      <w:pPr>
        <w:pStyle w:val="15"/>
        <w:tabs>
          <w:tab w:val="right" w:leader="dot" w:pos="9070"/>
        </w:tabs>
        <w:rPr>
          <w:u w:val="none"/>
        </w:rPr>
      </w:pPr>
      <w:r>
        <w:rPr>
          <w:szCs w:val="24"/>
          <w:u w:val="none"/>
        </w:rPr>
        <w:fldChar w:fldCharType="begin"/>
      </w:r>
      <w:r>
        <w:rPr>
          <w:szCs w:val="24"/>
          <w:u w:val="none"/>
        </w:rPr>
        <w:instrText xml:space="preserve"> HYPERLINK \l _Toc10318 </w:instrText>
      </w:r>
      <w:r>
        <w:rPr>
          <w:szCs w:val="24"/>
          <w:u w:val="none"/>
        </w:rPr>
        <w:fldChar w:fldCharType="separate"/>
      </w:r>
      <w:r>
        <w:rPr>
          <w:bCs/>
          <w:kern w:val="0"/>
          <w:u w:val="none"/>
          <w:lang w:bidi="ar"/>
        </w:rPr>
        <w:t>4环境监测</w:t>
      </w:r>
      <w:r>
        <w:rPr>
          <w:u w:val="none"/>
        </w:rPr>
        <w:tab/>
      </w:r>
      <w:r>
        <w:rPr>
          <w:u w:val="none"/>
        </w:rPr>
        <w:fldChar w:fldCharType="begin"/>
      </w:r>
      <w:r>
        <w:rPr>
          <w:u w:val="none"/>
        </w:rPr>
        <w:instrText xml:space="preserve"> PAGEREF _Toc10318 \h </w:instrText>
      </w:r>
      <w:r>
        <w:rPr>
          <w:u w:val="none"/>
        </w:rPr>
        <w:fldChar w:fldCharType="separate"/>
      </w:r>
      <w:r>
        <w:rPr>
          <w:u w:val="none"/>
        </w:rPr>
        <w:t>50</w:t>
      </w:r>
      <w:r>
        <w:rPr>
          <w:u w:val="none"/>
        </w:rPr>
        <w:fldChar w:fldCharType="end"/>
      </w:r>
      <w:r>
        <w:rPr>
          <w:szCs w:val="24"/>
          <w:u w:val="none"/>
        </w:rPr>
        <w:fldChar w:fldCharType="end"/>
      </w:r>
    </w:p>
    <w:p w14:paraId="4A015427">
      <w:pPr>
        <w:pStyle w:val="15"/>
        <w:tabs>
          <w:tab w:val="right" w:leader="dot" w:pos="9070"/>
        </w:tabs>
        <w:rPr>
          <w:u w:val="none"/>
        </w:rPr>
      </w:pPr>
      <w:r>
        <w:rPr>
          <w:szCs w:val="24"/>
          <w:u w:val="none"/>
        </w:rPr>
        <w:fldChar w:fldCharType="begin"/>
      </w:r>
      <w:r>
        <w:rPr>
          <w:szCs w:val="24"/>
          <w:u w:val="none"/>
        </w:rPr>
        <w:instrText xml:space="preserve"> HYPERLINK \l _Toc31869 </w:instrText>
      </w:r>
      <w:r>
        <w:rPr>
          <w:szCs w:val="24"/>
          <w:u w:val="none"/>
        </w:rPr>
        <w:fldChar w:fldCharType="separate"/>
      </w:r>
      <w:r>
        <w:rPr>
          <w:rFonts w:hint="eastAsia"/>
          <w:kern w:val="0"/>
          <w:u w:val="none"/>
        </w:rPr>
        <w:t>5</w:t>
      </w:r>
      <w:r>
        <w:rPr>
          <w:kern w:val="0"/>
          <w:u w:val="none"/>
        </w:rPr>
        <w:t>评价结论</w:t>
      </w:r>
      <w:r>
        <w:rPr>
          <w:u w:val="none"/>
        </w:rPr>
        <w:tab/>
      </w:r>
      <w:r>
        <w:rPr>
          <w:u w:val="none"/>
        </w:rPr>
        <w:fldChar w:fldCharType="begin"/>
      </w:r>
      <w:r>
        <w:rPr>
          <w:u w:val="none"/>
        </w:rPr>
        <w:instrText xml:space="preserve"> PAGEREF _Toc31869 \h </w:instrText>
      </w:r>
      <w:r>
        <w:rPr>
          <w:u w:val="none"/>
        </w:rPr>
        <w:fldChar w:fldCharType="separate"/>
      </w:r>
      <w:r>
        <w:rPr>
          <w:u w:val="none"/>
        </w:rPr>
        <w:t>51</w:t>
      </w:r>
      <w:r>
        <w:rPr>
          <w:u w:val="none"/>
        </w:rPr>
        <w:fldChar w:fldCharType="end"/>
      </w:r>
      <w:r>
        <w:rPr>
          <w:szCs w:val="24"/>
          <w:u w:val="none"/>
        </w:rPr>
        <w:fldChar w:fldCharType="end"/>
      </w:r>
    </w:p>
    <w:p w14:paraId="140D3FB8">
      <w:pPr>
        <w:pStyle w:val="16"/>
        <w:tabs>
          <w:tab w:val="right" w:leader="dot" w:pos="9070"/>
        </w:tabs>
        <w:rPr>
          <w:u w:val="none"/>
        </w:rPr>
      </w:pPr>
      <w:r>
        <w:rPr>
          <w:szCs w:val="24"/>
          <w:u w:val="none"/>
        </w:rPr>
        <w:fldChar w:fldCharType="begin"/>
      </w:r>
      <w:r>
        <w:rPr>
          <w:szCs w:val="24"/>
          <w:u w:val="none"/>
        </w:rPr>
        <w:instrText xml:space="preserve"> HYPERLINK \l _Toc18813 </w:instrText>
      </w:r>
      <w:r>
        <w:rPr>
          <w:szCs w:val="24"/>
          <w:u w:val="none"/>
        </w:rPr>
        <w:fldChar w:fldCharType="separate"/>
      </w:r>
      <w:r>
        <w:rPr>
          <w:rFonts w:hint="eastAsia"/>
          <w:kern w:val="0"/>
          <w:u w:val="none"/>
        </w:rPr>
        <w:t>5</w:t>
      </w:r>
      <w:r>
        <w:rPr>
          <w:kern w:val="0"/>
          <w:u w:val="none"/>
        </w:rPr>
        <w:t>.1电磁环境影响评价结论</w:t>
      </w:r>
      <w:r>
        <w:rPr>
          <w:u w:val="none"/>
        </w:rPr>
        <w:tab/>
      </w:r>
      <w:r>
        <w:rPr>
          <w:u w:val="none"/>
        </w:rPr>
        <w:fldChar w:fldCharType="begin"/>
      </w:r>
      <w:r>
        <w:rPr>
          <w:u w:val="none"/>
        </w:rPr>
        <w:instrText xml:space="preserve"> PAGEREF _Toc18813 \h </w:instrText>
      </w:r>
      <w:r>
        <w:rPr>
          <w:u w:val="none"/>
        </w:rPr>
        <w:fldChar w:fldCharType="separate"/>
      </w:r>
      <w:r>
        <w:rPr>
          <w:u w:val="none"/>
        </w:rPr>
        <w:t>51</w:t>
      </w:r>
      <w:r>
        <w:rPr>
          <w:u w:val="none"/>
        </w:rPr>
        <w:fldChar w:fldCharType="end"/>
      </w:r>
      <w:r>
        <w:rPr>
          <w:szCs w:val="24"/>
          <w:u w:val="none"/>
        </w:rPr>
        <w:fldChar w:fldCharType="end"/>
      </w:r>
    </w:p>
    <w:p w14:paraId="6AAF27B5">
      <w:pPr>
        <w:pStyle w:val="16"/>
        <w:tabs>
          <w:tab w:val="right" w:leader="dot" w:pos="9070"/>
        </w:tabs>
        <w:rPr>
          <w:u w:val="none"/>
        </w:rPr>
      </w:pPr>
      <w:r>
        <w:rPr>
          <w:szCs w:val="24"/>
          <w:u w:val="none"/>
        </w:rPr>
        <w:fldChar w:fldCharType="begin"/>
      </w:r>
      <w:r>
        <w:rPr>
          <w:szCs w:val="24"/>
          <w:u w:val="none"/>
        </w:rPr>
        <w:instrText xml:space="preserve"> HYPERLINK \l _Toc28547 </w:instrText>
      </w:r>
      <w:r>
        <w:rPr>
          <w:szCs w:val="24"/>
          <w:u w:val="none"/>
        </w:rPr>
        <w:fldChar w:fldCharType="separate"/>
      </w:r>
      <w:r>
        <w:rPr>
          <w:rFonts w:hint="eastAsia"/>
          <w:kern w:val="0"/>
          <w:u w:val="none"/>
        </w:rPr>
        <w:t>5</w:t>
      </w:r>
      <w:r>
        <w:rPr>
          <w:kern w:val="0"/>
          <w:u w:val="none"/>
        </w:rPr>
        <w:t>.</w:t>
      </w:r>
      <w:r>
        <w:rPr>
          <w:rFonts w:hint="eastAsia"/>
          <w:kern w:val="0"/>
          <w:u w:val="none"/>
        </w:rPr>
        <w:t>2电磁环境保护措施</w:t>
      </w:r>
      <w:r>
        <w:rPr>
          <w:u w:val="none"/>
        </w:rPr>
        <w:tab/>
      </w:r>
      <w:r>
        <w:rPr>
          <w:u w:val="none"/>
        </w:rPr>
        <w:fldChar w:fldCharType="begin"/>
      </w:r>
      <w:r>
        <w:rPr>
          <w:u w:val="none"/>
        </w:rPr>
        <w:instrText xml:space="preserve"> PAGEREF _Toc28547 \h </w:instrText>
      </w:r>
      <w:r>
        <w:rPr>
          <w:u w:val="none"/>
        </w:rPr>
        <w:fldChar w:fldCharType="separate"/>
      </w:r>
      <w:r>
        <w:rPr>
          <w:u w:val="none"/>
        </w:rPr>
        <w:t>51</w:t>
      </w:r>
      <w:r>
        <w:rPr>
          <w:u w:val="none"/>
        </w:rPr>
        <w:fldChar w:fldCharType="end"/>
      </w:r>
      <w:r>
        <w:rPr>
          <w:szCs w:val="24"/>
          <w:u w:val="none"/>
        </w:rPr>
        <w:fldChar w:fldCharType="end"/>
      </w:r>
    </w:p>
    <w:p w14:paraId="5D245F5A">
      <w:pPr>
        <w:pStyle w:val="16"/>
        <w:tabs>
          <w:tab w:val="right" w:leader="dot" w:pos="9070"/>
        </w:tabs>
        <w:rPr>
          <w:u w:val="none"/>
        </w:rPr>
      </w:pPr>
      <w:r>
        <w:rPr>
          <w:szCs w:val="24"/>
          <w:u w:val="none"/>
        </w:rPr>
        <w:fldChar w:fldCharType="begin"/>
      </w:r>
      <w:r>
        <w:rPr>
          <w:szCs w:val="24"/>
          <w:u w:val="none"/>
        </w:rPr>
        <w:instrText xml:space="preserve"> HYPERLINK \l _Toc22867 </w:instrText>
      </w:r>
      <w:r>
        <w:rPr>
          <w:szCs w:val="24"/>
          <w:u w:val="none"/>
        </w:rPr>
        <w:fldChar w:fldCharType="separate"/>
      </w:r>
      <w:r>
        <w:rPr>
          <w:rFonts w:hint="eastAsia"/>
          <w:kern w:val="0"/>
          <w:u w:val="none"/>
        </w:rPr>
        <w:t>5</w:t>
      </w:r>
      <w:r>
        <w:rPr>
          <w:kern w:val="0"/>
          <w:u w:val="none"/>
        </w:rPr>
        <w:t>.</w:t>
      </w:r>
      <w:r>
        <w:rPr>
          <w:rFonts w:hint="eastAsia"/>
          <w:kern w:val="0"/>
          <w:u w:val="none"/>
        </w:rPr>
        <w:t>3</w:t>
      </w:r>
      <w:r>
        <w:rPr>
          <w:kern w:val="0"/>
          <w:u w:val="none"/>
        </w:rPr>
        <w:t>建议</w:t>
      </w:r>
      <w:r>
        <w:rPr>
          <w:u w:val="none"/>
        </w:rPr>
        <w:tab/>
      </w:r>
      <w:r>
        <w:rPr>
          <w:u w:val="none"/>
        </w:rPr>
        <w:fldChar w:fldCharType="begin"/>
      </w:r>
      <w:r>
        <w:rPr>
          <w:u w:val="none"/>
        </w:rPr>
        <w:instrText xml:space="preserve"> PAGEREF _Toc22867 \h </w:instrText>
      </w:r>
      <w:r>
        <w:rPr>
          <w:u w:val="none"/>
        </w:rPr>
        <w:fldChar w:fldCharType="separate"/>
      </w:r>
      <w:r>
        <w:rPr>
          <w:u w:val="none"/>
        </w:rPr>
        <w:t>51</w:t>
      </w:r>
      <w:r>
        <w:rPr>
          <w:u w:val="none"/>
        </w:rPr>
        <w:fldChar w:fldCharType="end"/>
      </w:r>
      <w:r>
        <w:rPr>
          <w:szCs w:val="24"/>
          <w:u w:val="none"/>
        </w:rPr>
        <w:fldChar w:fldCharType="end"/>
      </w:r>
    </w:p>
    <w:p w14:paraId="044F72E2">
      <w:pPr>
        <w:pStyle w:val="13"/>
        <w:rPr>
          <w:sz w:val="24"/>
          <w:szCs w:val="24"/>
          <w:u w:val="none"/>
        </w:rPr>
      </w:pPr>
      <w:r>
        <w:rPr>
          <w:b/>
          <w:sz w:val="24"/>
          <w:szCs w:val="24"/>
          <w:u w:val="none"/>
        </w:rPr>
        <w:fldChar w:fldCharType="end"/>
      </w:r>
    </w:p>
    <w:p w14:paraId="3625FFA9">
      <w:pPr>
        <w:pStyle w:val="13"/>
        <w:rPr>
          <w:sz w:val="24"/>
          <w:szCs w:val="24"/>
          <w:u w:val="none"/>
        </w:rPr>
      </w:pPr>
    </w:p>
    <w:p w14:paraId="31388C45">
      <w:pPr>
        <w:pStyle w:val="13"/>
        <w:rPr>
          <w:sz w:val="24"/>
          <w:szCs w:val="24"/>
          <w:u w:val="none"/>
        </w:rPr>
      </w:pPr>
    </w:p>
    <w:p w14:paraId="6CACA33C">
      <w:pPr>
        <w:pStyle w:val="13"/>
        <w:rPr>
          <w:sz w:val="24"/>
          <w:szCs w:val="24"/>
          <w:u w:val="none"/>
        </w:rPr>
      </w:pPr>
    </w:p>
    <w:p w14:paraId="188035D7">
      <w:pPr>
        <w:pStyle w:val="13"/>
        <w:rPr>
          <w:sz w:val="24"/>
          <w:szCs w:val="24"/>
          <w:u w:val="none"/>
        </w:rPr>
      </w:pPr>
    </w:p>
    <w:p w14:paraId="014EDB7B">
      <w:pPr>
        <w:pStyle w:val="13"/>
        <w:rPr>
          <w:sz w:val="24"/>
          <w:szCs w:val="24"/>
          <w:u w:val="none"/>
        </w:rPr>
      </w:pPr>
    </w:p>
    <w:p w14:paraId="016BC729">
      <w:pPr>
        <w:pStyle w:val="32"/>
        <w:rPr>
          <w:sz w:val="24"/>
          <w:szCs w:val="24"/>
          <w:u w:val="none"/>
        </w:rPr>
      </w:pPr>
    </w:p>
    <w:p w14:paraId="095876A5">
      <w:pPr>
        <w:pStyle w:val="32"/>
        <w:rPr>
          <w:sz w:val="24"/>
          <w:szCs w:val="24"/>
          <w:u w:val="none"/>
        </w:rPr>
      </w:pPr>
    </w:p>
    <w:p w14:paraId="17D37BC9">
      <w:pPr>
        <w:pStyle w:val="32"/>
        <w:rPr>
          <w:sz w:val="24"/>
          <w:szCs w:val="24"/>
          <w:u w:val="none"/>
        </w:rPr>
      </w:pPr>
    </w:p>
    <w:p w14:paraId="76F94EED">
      <w:pPr>
        <w:pStyle w:val="32"/>
        <w:rPr>
          <w:sz w:val="24"/>
          <w:szCs w:val="24"/>
          <w:u w:val="none"/>
        </w:rPr>
      </w:pPr>
    </w:p>
    <w:p w14:paraId="3440DA89">
      <w:pPr>
        <w:pStyle w:val="32"/>
        <w:rPr>
          <w:sz w:val="24"/>
          <w:szCs w:val="24"/>
          <w:u w:val="none"/>
        </w:rPr>
      </w:pPr>
    </w:p>
    <w:p w14:paraId="49318338">
      <w:pPr>
        <w:pStyle w:val="32"/>
        <w:rPr>
          <w:sz w:val="24"/>
          <w:szCs w:val="24"/>
          <w:u w:val="none"/>
        </w:rPr>
      </w:pPr>
    </w:p>
    <w:p w14:paraId="589BD637">
      <w:pPr>
        <w:pStyle w:val="32"/>
        <w:rPr>
          <w:sz w:val="24"/>
          <w:szCs w:val="24"/>
          <w:u w:val="none"/>
        </w:rPr>
      </w:pPr>
    </w:p>
    <w:p w14:paraId="52FA4693">
      <w:pPr>
        <w:pStyle w:val="32"/>
        <w:jc w:val="both"/>
        <w:rPr>
          <w:sz w:val="24"/>
          <w:szCs w:val="24"/>
          <w:u w:val="none"/>
        </w:rPr>
      </w:pPr>
    </w:p>
    <w:p w14:paraId="412F112C">
      <w:pPr>
        <w:pStyle w:val="32"/>
        <w:rPr>
          <w:sz w:val="24"/>
          <w:szCs w:val="24"/>
          <w:u w:val="none"/>
        </w:rPr>
      </w:pPr>
    </w:p>
    <w:p w14:paraId="48CF0221">
      <w:pPr>
        <w:pStyle w:val="10"/>
        <w:outlineLvl w:val="0"/>
        <w:rPr>
          <w:rFonts w:ascii="Times New Roman" w:hAnsi="Times New Roman"/>
          <w:b/>
          <w:sz w:val="24"/>
          <w:szCs w:val="24"/>
          <w:u w:val="none"/>
        </w:rPr>
      </w:pPr>
      <w:bookmarkStart w:id="93" w:name="_Toc18388"/>
      <w:bookmarkStart w:id="94" w:name="_Toc17877496"/>
      <w:bookmarkStart w:id="95" w:name="_Toc20322"/>
      <w:bookmarkStart w:id="96" w:name="_Toc38803787"/>
      <w:bookmarkStart w:id="97" w:name="_Toc29152"/>
      <w:bookmarkStart w:id="98" w:name="_Toc17877830"/>
      <w:bookmarkStart w:id="99" w:name="_Toc7288"/>
      <w:bookmarkStart w:id="100" w:name="_Toc25118"/>
      <w:bookmarkStart w:id="101" w:name="_Toc14872"/>
      <w:bookmarkStart w:id="102" w:name="_Toc5874"/>
      <w:bookmarkStart w:id="103" w:name="_Toc6863"/>
      <w:bookmarkStart w:id="104" w:name="_Toc26134"/>
      <w:bookmarkStart w:id="105" w:name="_Toc5027"/>
      <w:bookmarkStart w:id="106" w:name="_Toc28358"/>
      <w:bookmarkStart w:id="107" w:name="_Toc26428"/>
      <w:r>
        <w:rPr>
          <w:rFonts w:ascii="Times New Roman" w:hAnsi="Times New Roman"/>
          <w:b/>
          <w:sz w:val="24"/>
          <w:szCs w:val="24"/>
          <w:u w:val="none"/>
        </w:rPr>
        <w:t>1总则</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6AB58D2">
      <w:pPr>
        <w:pStyle w:val="10"/>
        <w:outlineLvl w:val="1"/>
        <w:rPr>
          <w:rFonts w:ascii="Times New Roman" w:hAnsi="Times New Roman"/>
          <w:b/>
          <w:sz w:val="24"/>
          <w:szCs w:val="24"/>
          <w:u w:val="none"/>
        </w:rPr>
      </w:pPr>
      <w:bookmarkStart w:id="108" w:name="_Toc31231"/>
      <w:bookmarkStart w:id="109" w:name="_Toc17279"/>
      <w:bookmarkStart w:id="110" w:name="_Toc16288"/>
      <w:bookmarkStart w:id="111" w:name="_Toc8709"/>
      <w:bookmarkStart w:id="112" w:name="_Toc6716"/>
      <w:bookmarkStart w:id="113" w:name="_Toc12092"/>
      <w:bookmarkStart w:id="114" w:name="_Toc7767"/>
      <w:bookmarkStart w:id="115" w:name="_Toc5948"/>
      <w:bookmarkStart w:id="116" w:name="_Toc26875"/>
      <w:r>
        <w:rPr>
          <w:rFonts w:ascii="Times New Roman" w:hAnsi="Times New Roman"/>
          <w:b/>
          <w:sz w:val="24"/>
          <w:szCs w:val="24"/>
          <w:u w:val="none"/>
        </w:rPr>
        <w:t>1.1评价因子</w:t>
      </w:r>
      <w:bookmarkEnd w:id="108"/>
      <w:bookmarkEnd w:id="109"/>
      <w:bookmarkEnd w:id="110"/>
      <w:bookmarkEnd w:id="111"/>
      <w:bookmarkEnd w:id="112"/>
      <w:bookmarkEnd w:id="113"/>
      <w:bookmarkEnd w:id="114"/>
      <w:bookmarkEnd w:id="115"/>
      <w:bookmarkEnd w:id="116"/>
    </w:p>
    <w:p w14:paraId="041EEDEC">
      <w:pPr>
        <w:pStyle w:val="10"/>
        <w:ind w:firstLine="480" w:firstLineChars="200"/>
        <w:rPr>
          <w:rFonts w:ascii="Times New Roman" w:hAnsi="Times New Roman"/>
          <w:sz w:val="24"/>
          <w:szCs w:val="24"/>
          <w:u w:val="none"/>
        </w:rPr>
      </w:pPr>
      <w:r>
        <w:rPr>
          <w:rFonts w:ascii="Times New Roman" w:hAnsi="Times New Roman"/>
          <w:sz w:val="24"/>
          <w:szCs w:val="24"/>
          <w:u w:val="none"/>
        </w:rPr>
        <w:t>工频电场、工频磁场。</w:t>
      </w:r>
    </w:p>
    <w:p w14:paraId="6E7E0308">
      <w:pPr>
        <w:pStyle w:val="10"/>
        <w:rPr>
          <w:rFonts w:ascii="Times New Roman" w:hAnsi="Times New Roman"/>
          <w:b/>
          <w:sz w:val="24"/>
          <w:szCs w:val="24"/>
          <w:u w:val="none"/>
        </w:rPr>
      </w:pPr>
      <w:r>
        <w:rPr>
          <w:rFonts w:hint="eastAsia" w:ascii="Times New Roman" w:hAnsi="Times New Roman"/>
          <w:b/>
          <w:sz w:val="24"/>
          <w:szCs w:val="24"/>
          <w:u w:val="none"/>
        </w:rPr>
        <w:t>1.2评价依据及法律法规</w:t>
      </w:r>
    </w:p>
    <w:p w14:paraId="2954051D">
      <w:pPr>
        <w:pStyle w:val="43"/>
        <w:ind w:firstLine="480"/>
        <w:rPr>
          <w:rFonts w:hint="eastAsia" w:ascii="Times New Roman" w:hAnsi="Times New Roman" w:eastAsia="宋体"/>
          <w:szCs w:val="24"/>
          <w:u w:val="none"/>
          <w:lang w:eastAsia="zh-CN"/>
        </w:rPr>
      </w:pPr>
      <w:r>
        <w:rPr>
          <w:rFonts w:hint="eastAsia" w:ascii="Times New Roman" w:hAnsi="Times New Roman"/>
          <w:szCs w:val="24"/>
          <w:u w:val="none"/>
        </w:rPr>
        <w:t>a）</w:t>
      </w:r>
      <w:r>
        <w:rPr>
          <w:rFonts w:ascii="Times New Roman" w:hAnsi="Times New Roman"/>
          <w:szCs w:val="24"/>
          <w:u w:val="none"/>
        </w:rPr>
        <w:t>《中华人民共和国电力法》（2018年12月29日修订施行）</w:t>
      </w:r>
      <w:r>
        <w:rPr>
          <w:rFonts w:hint="eastAsia" w:ascii="Times New Roman"/>
          <w:spacing w:val="0"/>
          <w:kern w:val="2"/>
          <w:szCs w:val="24"/>
          <w:u w:val="none"/>
          <w:lang w:eastAsia="zh-CN"/>
        </w:rPr>
        <w:t>；</w:t>
      </w:r>
    </w:p>
    <w:p w14:paraId="56A6D1C4">
      <w:pPr>
        <w:pStyle w:val="29"/>
        <w:ind w:firstLine="480" w:firstLineChars="200"/>
        <w:rPr>
          <w:rFonts w:ascii="Times New Roman"/>
          <w:spacing w:val="0"/>
          <w:kern w:val="2"/>
          <w:szCs w:val="24"/>
          <w:u w:val="none"/>
        </w:rPr>
      </w:pPr>
      <w:r>
        <w:rPr>
          <w:rFonts w:hint="eastAsia" w:ascii="Times New Roman"/>
          <w:spacing w:val="0"/>
          <w:kern w:val="2"/>
          <w:szCs w:val="24"/>
          <w:u w:val="none"/>
        </w:rPr>
        <w:t>b）</w:t>
      </w:r>
      <w:r>
        <w:rPr>
          <w:rFonts w:ascii="Times New Roman"/>
          <w:spacing w:val="0"/>
          <w:kern w:val="2"/>
          <w:szCs w:val="24"/>
          <w:u w:val="none"/>
        </w:rPr>
        <w:t>《环境保护厅关于印发广西壮族自治区辐射环境监测质量管理办法的通知》（广西壮族自治区环境保护厅桂环规范</w:t>
      </w:r>
      <w:r>
        <w:rPr>
          <w:rFonts w:hint="eastAsia" w:ascii="Times New Roman"/>
          <w:spacing w:val="0"/>
          <w:kern w:val="2"/>
          <w:szCs w:val="24"/>
          <w:u w:val="none"/>
          <w:lang w:eastAsia="zh-CN"/>
        </w:rPr>
        <w:t>〔2017〕7号；</w:t>
      </w:r>
    </w:p>
    <w:p w14:paraId="51265E25">
      <w:pPr>
        <w:pStyle w:val="43"/>
        <w:ind w:firstLineChars="0"/>
        <w:rPr>
          <w:rFonts w:ascii="Times New Roman" w:hAnsi="Times New Roman"/>
          <w:szCs w:val="24"/>
          <w:u w:val="none"/>
        </w:rPr>
      </w:pPr>
      <w:r>
        <w:rPr>
          <w:rFonts w:hint="eastAsia" w:ascii="Times New Roman" w:hAnsi="Times New Roman"/>
          <w:szCs w:val="24"/>
          <w:u w:val="none"/>
        </w:rPr>
        <w:t>c）</w:t>
      </w:r>
      <w:r>
        <w:rPr>
          <w:rFonts w:ascii="Times New Roman" w:hAnsi="Times New Roman"/>
          <w:szCs w:val="24"/>
          <w:u w:val="none"/>
        </w:rPr>
        <w:t>《关于进一步加强输变电类建设项目环境保护监管工作的通知》（环境保护部环办</w:t>
      </w:r>
      <w:r>
        <w:rPr>
          <w:rFonts w:hint="eastAsia" w:ascii="Times New Roman" w:hAnsi="Times New Roman"/>
          <w:szCs w:val="24"/>
          <w:u w:val="none"/>
          <w:lang w:eastAsia="zh-CN"/>
        </w:rPr>
        <w:t>〔2012〕131号</w:t>
      </w:r>
      <w:r>
        <w:rPr>
          <w:rFonts w:ascii="Times New Roman" w:hAnsi="Times New Roman"/>
          <w:szCs w:val="24"/>
          <w:u w:val="none"/>
        </w:rPr>
        <w:t>）</w:t>
      </w:r>
      <w:r>
        <w:rPr>
          <w:rFonts w:hint="eastAsia" w:ascii="Times New Roman"/>
          <w:spacing w:val="0"/>
          <w:kern w:val="2"/>
          <w:szCs w:val="24"/>
          <w:u w:val="none"/>
          <w:lang w:eastAsia="zh-CN"/>
        </w:rPr>
        <w:t>；</w:t>
      </w:r>
    </w:p>
    <w:p w14:paraId="6A96C4B4">
      <w:pPr>
        <w:pStyle w:val="29"/>
        <w:ind w:firstLine="480" w:firstLineChars="200"/>
        <w:rPr>
          <w:rFonts w:ascii="Times New Roman"/>
          <w:spacing w:val="0"/>
          <w:kern w:val="2"/>
          <w:szCs w:val="24"/>
          <w:u w:val="none"/>
        </w:rPr>
      </w:pPr>
      <w:r>
        <w:rPr>
          <w:rFonts w:hint="eastAsia" w:ascii="Times New Roman"/>
          <w:spacing w:val="0"/>
          <w:kern w:val="2"/>
          <w:szCs w:val="24"/>
          <w:u w:val="none"/>
        </w:rPr>
        <w:t>d）</w:t>
      </w:r>
      <w:r>
        <w:rPr>
          <w:rFonts w:ascii="Times New Roman"/>
          <w:spacing w:val="0"/>
          <w:kern w:val="2"/>
          <w:szCs w:val="24"/>
          <w:u w:val="none"/>
        </w:rPr>
        <w:t>《环境影响评价技术导则输变电》（HJ24－2020）</w:t>
      </w:r>
      <w:r>
        <w:rPr>
          <w:rFonts w:hint="eastAsia" w:ascii="Times New Roman"/>
          <w:spacing w:val="0"/>
          <w:kern w:val="2"/>
          <w:szCs w:val="24"/>
          <w:u w:val="none"/>
          <w:lang w:eastAsia="zh-CN"/>
        </w:rPr>
        <w:t>；</w:t>
      </w:r>
    </w:p>
    <w:p w14:paraId="0B190D09">
      <w:pPr>
        <w:pStyle w:val="29"/>
        <w:ind w:firstLine="480" w:firstLineChars="200"/>
        <w:rPr>
          <w:rFonts w:hint="eastAsia" w:ascii="Times New Roman"/>
          <w:spacing w:val="0"/>
          <w:kern w:val="2"/>
          <w:szCs w:val="24"/>
          <w:u w:val="none"/>
        </w:rPr>
      </w:pPr>
      <w:r>
        <w:rPr>
          <w:rFonts w:hint="eastAsia" w:ascii="Times New Roman"/>
          <w:spacing w:val="0"/>
          <w:kern w:val="2"/>
          <w:szCs w:val="24"/>
          <w:u w:val="none"/>
        </w:rPr>
        <w:t>e）</w:t>
      </w:r>
      <w:r>
        <w:rPr>
          <w:rFonts w:ascii="Times New Roman"/>
          <w:spacing w:val="0"/>
          <w:kern w:val="2"/>
          <w:szCs w:val="24"/>
          <w:u w:val="none"/>
        </w:rPr>
        <w:t>《电磁环境控制限值》（GB8702-2014）</w:t>
      </w:r>
      <w:r>
        <w:rPr>
          <w:rFonts w:hint="eastAsia" w:ascii="Times New Roman"/>
          <w:spacing w:val="0"/>
          <w:kern w:val="2"/>
          <w:szCs w:val="24"/>
          <w:u w:val="none"/>
          <w:lang w:eastAsia="zh-CN"/>
        </w:rPr>
        <w:t>；</w:t>
      </w:r>
    </w:p>
    <w:p w14:paraId="534001D7">
      <w:pPr>
        <w:pStyle w:val="29"/>
        <w:ind w:firstLine="480" w:firstLineChars="200"/>
        <w:rPr>
          <w:rFonts w:hint="default" w:ascii="Times New Roman" w:eastAsia="宋体"/>
          <w:spacing w:val="0"/>
          <w:kern w:val="2"/>
          <w:szCs w:val="24"/>
          <w:u w:val="none"/>
          <w:lang w:val="en-US" w:eastAsia="zh-CN"/>
        </w:rPr>
      </w:pPr>
      <w:r>
        <w:rPr>
          <w:rFonts w:hint="eastAsia" w:ascii="Times New Roman"/>
          <w:spacing w:val="0"/>
          <w:kern w:val="2"/>
          <w:szCs w:val="24"/>
          <w:u w:val="none"/>
          <w:lang w:val="en-US" w:eastAsia="zh-CN"/>
        </w:rPr>
        <w:t>f）《</w:t>
      </w:r>
      <w:r>
        <w:rPr>
          <w:rFonts w:hint="eastAsia" w:ascii="Times New Roman"/>
          <w:spacing w:val="0"/>
          <w:kern w:val="2"/>
          <w:szCs w:val="24"/>
          <w:u w:val="none"/>
        </w:rPr>
        <w:t>输变电建设项目环境保护技术要求</w:t>
      </w:r>
      <w:r>
        <w:rPr>
          <w:rFonts w:hint="eastAsia" w:ascii="Times New Roman"/>
          <w:spacing w:val="0"/>
          <w:kern w:val="2"/>
          <w:szCs w:val="24"/>
          <w:u w:val="none"/>
          <w:lang w:val="en-US" w:eastAsia="zh-CN"/>
        </w:rPr>
        <w:t>》（HJ1113-2020）。</w:t>
      </w:r>
    </w:p>
    <w:p w14:paraId="116B224B">
      <w:pPr>
        <w:pStyle w:val="10"/>
        <w:outlineLvl w:val="1"/>
        <w:rPr>
          <w:rFonts w:ascii="Times New Roman" w:hAnsi="Times New Roman"/>
          <w:b/>
          <w:sz w:val="24"/>
          <w:szCs w:val="24"/>
          <w:u w:val="none"/>
        </w:rPr>
      </w:pPr>
      <w:bookmarkStart w:id="117" w:name="_Toc7241"/>
      <w:bookmarkStart w:id="118" w:name="_Toc32001"/>
      <w:bookmarkStart w:id="119" w:name="_Toc4757"/>
      <w:bookmarkStart w:id="120" w:name="_Toc6461"/>
      <w:bookmarkStart w:id="121" w:name="_Toc20871"/>
      <w:bookmarkStart w:id="122" w:name="_Toc1631"/>
      <w:bookmarkStart w:id="123" w:name="_Toc9065"/>
      <w:bookmarkStart w:id="124" w:name="_Toc8226"/>
      <w:bookmarkStart w:id="125" w:name="_Toc22535"/>
      <w:r>
        <w:rPr>
          <w:rFonts w:ascii="Times New Roman" w:hAnsi="Times New Roman"/>
          <w:b/>
          <w:sz w:val="24"/>
          <w:szCs w:val="24"/>
          <w:u w:val="none"/>
        </w:rPr>
        <w:t>1.</w:t>
      </w:r>
      <w:r>
        <w:rPr>
          <w:rFonts w:hint="eastAsia" w:ascii="Times New Roman" w:hAnsi="Times New Roman"/>
          <w:b/>
          <w:sz w:val="24"/>
          <w:szCs w:val="24"/>
          <w:u w:val="none"/>
        </w:rPr>
        <w:t>3</w:t>
      </w:r>
      <w:r>
        <w:rPr>
          <w:rFonts w:ascii="Times New Roman" w:hAnsi="Times New Roman"/>
          <w:b/>
          <w:sz w:val="24"/>
          <w:szCs w:val="24"/>
          <w:u w:val="none"/>
        </w:rPr>
        <w:t>评价标准</w:t>
      </w:r>
      <w:bookmarkEnd w:id="117"/>
      <w:bookmarkEnd w:id="118"/>
      <w:bookmarkEnd w:id="119"/>
      <w:bookmarkEnd w:id="120"/>
      <w:bookmarkEnd w:id="121"/>
      <w:bookmarkEnd w:id="122"/>
      <w:bookmarkEnd w:id="123"/>
      <w:bookmarkEnd w:id="124"/>
      <w:bookmarkEnd w:id="125"/>
    </w:p>
    <w:p w14:paraId="046BF609">
      <w:pPr>
        <w:pStyle w:val="10"/>
        <w:ind w:firstLine="480" w:firstLineChars="200"/>
        <w:rPr>
          <w:rFonts w:ascii="Times New Roman" w:hAnsi="Times New Roman"/>
          <w:sz w:val="24"/>
          <w:szCs w:val="24"/>
          <w:u w:val="none"/>
        </w:rPr>
      </w:pPr>
      <w:r>
        <w:rPr>
          <w:rFonts w:ascii="Times New Roman" w:hAnsi="Times New Roman"/>
          <w:sz w:val="24"/>
          <w:szCs w:val="24"/>
          <w:u w:val="none"/>
        </w:rPr>
        <w:t>根据《电磁环境控制限值》（GB8702-2014），变电站周围工频电场强度的公众曝露控制限值为4000V/m，工频磁感应强度的公众曝露控制限值为</w:t>
      </w:r>
      <w:r>
        <w:rPr>
          <w:rFonts w:ascii="Times New Roman" w:hAnsi="Times New Roman"/>
          <w:sz w:val="24"/>
          <w:szCs w:val="24"/>
          <w:u w:val="none"/>
          <w:lang w:bidi="ar"/>
        </w:rPr>
        <w:t>100μ</w:t>
      </w:r>
      <w:r>
        <w:rPr>
          <w:rFonts w:ascii="Times New Roman" w:hAnsi="Times New Roman"/>
          <w:sz w:val="24"/>
          <w:szCs w:val="24"/>
          <w:u w:val="none"/>
        </w:rPr>
        <w:t>T。</w:t>
      </w:r>
    </w:p>
    <w:p w14:paraId="149524EB">
      <w:pPr>
        <w:pStyle w:val="10"/>
        <w:outlineLvl w:val="1"/>
        <w:rPr>
          <w:rFonts w:ascii="Times New Roman" w:hAnsi="Times New Roman"/>
          <w:b/>
          <w:bCs/>
          <w:kern w:val="2"/>
          <w:sz w:val="24"/>
          <w:szCs w:val="24"/>
          <w:u w:val="none"/>
        </w:rPr>
      </w:pPr>
      <w:bookmarkStart w:id="126" w:name="_Toc7530"/>
      <w:bookmarkStart w:id="127" w:name="_Toc31079"/>
      <w:bookmarkStart w:id="128" w:name="_Toc2611"/>
      <w:bookmarkStart w:id="129" w:name="_Toc27126"/>
      <w:bookmarkStart w:id="130" w:name="_Toc13669"/>
      <w:bookmarkStart w:id="131" w:name="_Toc2884"/>
      <w:bookmarkStart w:id="132" w:name="_Toc25157"/>
      <w:bookmarkStart w:id="133" w:name="_Toc27652"/>
      <w:bookmarkStart w:id="134" w:name="_Toc6378"/>
      <w:r>
        <w:rPr>
          <w:rFonts w:ascii="Times New Roman" w:hAnsi="Times New Roman"/>
          <w:b/>
          <w:bCs/>
          <w:kern w:val="2"/>
          <w:sz w:val="24"/>
          <w:szCs w:val="24"/>
          <w:u w:val="none"/>
        </w:rPr>
        <w:t>1.</w:t>
      </w:r>
      <w:r>
        <w:rPr>
          <w:rFonts w:hint="eastAsia" w:ascii="Times New Roman" w:hAnsi="Times New Roman"/>
          <w:b/>
          <w:bCs/>
          <w:kern w:val="2"/>
          <w:sz w:val="24"/>
          <w:szCs w:val="24"/>
          <w:u w:val="none"/>
        </w:rPr>
        <w:t>4</w:t>
      </w:r>
      <w:r>
        <w:rPr>
          <w:rFonts w:ascii="Times New Roman" w:hAnsi="Times New Roman"/>
          <w:b/>
          <w:bCs/>
          <w:kern w:val="2"/>
          <w:sz w:val="24"/>
          <w:szCs w:val="24"/>
          <w:u w:val="none"/>
        </w:rPr>
        <w:t>评价工作等级</w:t>
      </w:r>
      <w:bookmarkEnd w:id="126"/>
      <w:bookmarkEnd w:id="127"/>
      <w:bookmarkEnd w:id="128"/>
      <w:bookmarkEnd w:id="129"/>
      <w:bookmarkEnd w:id="130"/>
      <w:bookmarkEnd w:id="131"/>
      <w:bookmarkEnd w:id="132"/>
      <w:bookmarkEnd w:id="133"/>
      <w:bookmarkEnd w:id="134"/>
    </w:p>
    <w:p w14:paraId="4A4DB7D7">
      <w:pPr>
        <w:pStyle w:val="10"/>
        <w:ind w:firstLine="480" w:firstLineChars="200"/>
        <w:rPr>
          <w:rFonts w:ascii="Times New Roman" w:hAnsi="Times New Roman"/>
          <w:sz w:val="24"/>
          <w:szCs w:val="24"/>
          <w:u w:val="none"/>
        </w:rPr>
      </w:pPr>
      <w:r>
        <w:rPr>
          <w:rFonts w:hint="eastAsia" w:ascii="Times New Roman" w:hAnsi="Times New Roman"/>
          <w:sz w:val="24"/>
          <w:szCs w:val="24"/>
          <w:u w:val="none"/>
        </w:rPr>
        <w:t>依据《环境影响评价技术导则-输变电》（HJ24-2020），220kV变电站为户外变电站</w:t>
      </w:r>
      <w:r>
        <w:rPr>
          <w:rFonts w:ascii="Times New Roman" w:hAnsi="Times New Roman"/>
          <w:sz w:val="24"/>
          <w:szCs w:val="24"/>
          <w:u w:val="none"/>
        </w:rPr>
        <w:t>，电磁环境影响评价工作等级为二级。</w:t>
      </w:r>
    </w:p>
    <w:p w14:paraId="5F130324">
      <w:pPr>
        <w:pStyle w:val="10"/>
        <w:outlineLvl w:val="1"/>
        <w:rPr>
          <w:rFonts w:ascii="Times New Roman" w:hAnsi="Times New Roman"/>
          <w:b/>
          <w:bCs/>
          <w:kern w:val="2"/>
          <w:sz w:val="24"/>
          <w:szCs w:val="24"/>
          <w:u w:val="none"/>
        </w:rPr>
      </w:pPr>
      <w:bookmarkStart w:id="135" w:name="_Toc598"/>
      <w:bookmarkStart w:id="136" w:name="_Toc17109"/>
      <w:bookmarkStart w:id="137" w:name="_Toc2497"/>
      <w:bookmarkStart w:id="138" w:name="_Toc9336"/>
      <w:bookmarkStart w:id="139" w:name="_Toc3772"/>
      <w:bookmarkStart w:id="140" w:name="_Toc30099"/>
      <w:bookmarkStart w:id="141" w:name="_Toc31569"/>
      <w:bookmarkStart w:id="142" w:name="_Toc17624"/>
      <w:bookmarkStart w:id="143" w:name="_Toc24149"/>
      <w:r>
        <w:rPr>
          <w:rFonts w:ascii="Times New Roman" w:hAnsi="Times New Roman"/>
          <w:b/>
          <w:bCs/>
          <w:kern w:val="2"/>
          <w:sz w:val="24"/>
          <w:szCs w:val="24"/>
          <w:u w:val="none"/>
        </w:rPr>
        <w:t>1.</w:t>
      </w:r>
      <w:r>
        <w:rPr>
          <w:rFonts w:hint="eastAsia" w:ascii="Times New Roman" w:hAnsi="Times New Roman"/>
          <w:b/>
          <w:bCs/>
          <w:kern w:val="2"/>
          <w:sz w:val="24"/>
          <w:szCs w:val="24"/>
          <w:u w:val="none"/>
        </w:rPr>
        <w:t>5</w:t>
      </w:r>
      <w:r>
        <w:rPr>
          <w:rFonts w:ascii="Times New Roman" w:hAnsi="Times New Roman"/>
          <w:b/>
          <w:bCs/>
          <w:kern w:val="2"/>
          <w:sz w:val="24"/>
          <w:szCs w:val="24"/>
          <w:u w:val="none"/>
        </w:rPr>
        <w:t>评价范围</w:t>
      </w:r>
      <w:bookmarkEnd w:id="135"/>
      <w:bookmarkEnd w:id="136"/>
      <w:bookmarkEnd w:id="137"/>
      <w:bookmarkEnd w:id="138"/>
      <w:bookmarkEnd w:id="139"/>
      <w:bookmarkEnd w:id="140"/>
      <w:bookmarkEnd w:id="141"/>
      <w:bookmarkEnd w:id="142"/>
      <w:bookmarkEnd w:id="143"/>
    </w:p>
    <w:p w14:paraId="3834C9F9">
      <w:pPr>
        <w:pStyle w:val="10"/>
        <w:ind w:firstLine="480" w:firstLineChars="200"/>
        <w:rPr>
          <w:rFonts w:ascii="Times New Roman" w:hAnsi="Times New Roman"/>
          <w:sz w:val="24"/>
          <w:szCs w:val="24"/>
          <w:u w:val="none"/>
        </w:rPr>
      </w:pPr>
      <w:r>
        <w:rPr>
          <w:rFonts w:ascii="Times New Roman" w:hAnsi="Times New Roman"/>
          <w:sz w:val="24"/>
          <w:szCs w:val="24"/>
          <w:u w:val="none"/>
        </w:rPr>
        <w:t>变电站：</w:t>
      </w:r>
      <w:r>
        <w:rPr>
          <w:rFonts w:hint="eastAsia" w:ascii="Times New Roman" w:hAnsi="Times New Roman"/>
          <w:sz w:val="24"/>
          <w:szCs w:val="24"/>
          <w:u w:val="none"/>
        </w:rPr>
        <w:t>厂界</w:t>
      </w:r>
      <w:r>
        <w:rPr>
          <w:rFonts w:ascii="Times New Roman" w:hAnsi="Times New Roman"/>
          <w:sz w:val="24"/>
          <w:szCs w:val="24"/>
          <w:u w:val="none"/>
        </w:rPr>
        <w:t>外</w:t>
      </w:r>
      <w:r>
        <w:rPr>
          <w:rFonts w:hint="eastAsia" w:ascii="Times New Roman" w:hAnsi="Times New Roman"/>
          <w:sz w:val="24"/>
          <w:szCs w:val="24"/>
          <w:u w:val="none"/>
        </w:rPr>
        <w:t>4</w:t>
      </w:r>
      <w:r>
        <w:rPr>
          <w:rFonts w:ascii="Times New Roman" w:hAnsi="Times New Roman"/>
          <w:sz w:val="24"/>
          <w:szCs w:val="24"/>
          <w:u w:val="none"/>
        </w:rPr>
        <w:t>0m范围内区域。</w:t>
      </w:r>
    </w:p>
    <w:p w14:paraId="56FEB2AC">
      <w:pPr>
        <w:pStyle w:val="10"/>
        <w:outlineLvl w:val="1"/>
        <w:rPr>
          <w:rFonts w:ascii="Times New Roman" w:hAnsi="Times New Roman"/>
          <w:b/>
          <w:bCs/>
          <w:kern w:val="2"/>
          <w:sz w:val="24"/>
          <w:szCs w:val="24"/>
          <w:u w:val="none"/>
        </w:rPr>
      </w:pPr>
      <w:bookmarkStart w:id="144" w:name="_Toc15213"/>
      <w:bookmarkStart w:id="145" w:name="_Toc1305"/>
      <w:bookmarkStart w:id="146" w:name="_Toc17992"/>
      <w:bookmarkStart w:id="147" w:name="_Toc30763"/>
      <w:bookmarkStart w:id="148" w:name="_Toc13256"/>
      <w:bookmarkStart w:id="149" w:name="_Toc1268"/>
      <w:bookmarkStart w:id="150" w:name="_Toc17089"/>
      <w:bookmarkStart w:id="151" w:name="_Toc26684"/>
      <w:bookmarkStart w:id="152" w:name="_Toc23030"/>
      <w:r>
        <w:rPr>
          <w:rFonts w:ascii="Times New Roman" w:hAnsi="Times New Roman"/>
          <w:b/>
          <w:bCs/>
          <w:kern w:val="2"/>
          <w:sz w:val="24"/>
          <w:szCs w:val="24"/>
          <w:u w:val="none"/>
        </w:rPr>
        <w:t>1.</w:t>
      </w:r>
      <w:r>
        <w:rPr>
          <w:rFonts w:hint="eastAsia" w:ascii="Times New Roman" w:hAnsi="Times New Roman"/>
          <w:b/>
          <w:bCs/>
          <w:kern w:val="2"/>
          <w:sz w:val="24"/>
          <w:szCs w:val="24"/>
          <w:u w:val="none"/>
        </w:rPr>
        <w:t>6</w:t>
      </w:r>
      <w:bookmarkEnd w:id="144"/>
      <w:r>
        <w:rPr>
          <w:rFonts w:ascii="Times New Roman" w:hAnsi="Times New Roman"/>
          <w:b/>
          <w:bCs/>
          <w:kern w:val="2"/>
          <w:sz w:val="24"/>
          <w:szCs w:val="24"/>
          <w:u w:val="none"/>
        </w:rPr>
        <w:t>环境敏感目标</w:t>
      </w:r>
      <w:bookmarkEnd w:id="145"/>
      <w:bookmarkEnd w:id="146"/>
      <w:bookmarkEnd w:id="147"/>
      <w:bookmarkEnd w:id="148"/>
      <w:bookmarkEnd w:id="149"/>
      <w:bookmarkEnd w:id="150"/>
      <w:bookmarkEnd w:id="151"/>
      <w:bookmarkEnd w:id="152"/>
    </w:p>
    <w:p w14:paraId="365C4145">
      <w:pPr>
        <w:pStyle w:val="10"/>
        <w:ind w:firstLine="480" w:firstLineChars="200"/>
        <w:rPr>
          <w:rFonts w:ascii="Times New Roman" w:hAnsi="Times New Roman"/>
          <w:b/>
          <w:sz w:val="24"/>
          <w:szCs w:val="24"/>
          <w:u w:val="none"/>
        </w:rPr>
      </w:pPr>
      <w:r>
        <w:rPr>
          <w:rFonts w:ascii="Times New Roman" w:hAnsi="Times New Roman"/>
          <w:sz w:val="24"/>
          <w:szCs w:val="24"/>
          <w:u w:val="none"/>
        </w:rPr>
        <w:t>根据现场踏勘，工程评价范围</w:t>
      </w:r>
      <w:r>
        <w:rPr>
          <w:rFonts w:hint="eastAsia" w:ascii="Times New Roman" w:hAnsi="Times New Roman"/>
          <w:sz w:val="24"/>
          <w:szCs w:val="24"/>
          <w:u w:val="none"/>
        </w:rPr>
        <w:t>内有1处</w:t>
      </w:r>
      <w:r>
        <w:rPr>
          <w:rFonts w:ascii="Times New Roman" w:hAnsi="Times New Roman"/>
          <w:sz w:val="24"/>
          <w:szCs w:val="24"/>
          <w:u w:val="none"/>
        </w:rPr>
        <w:t>电磁环境敏感目标</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见表2.1-1</w:t>
      </w:r>
      <w:r>
        <w:rPr>
          <w:rFonts w:ascii="Times New Roman" w:hAnsi="Times New Roman"/>
          <w:sz w:val="24"/>
          <w:szCs w:val="24"/>
          <w:u w:val="none"/>
        </w:rPr>
        <w:t>。</w:t>
      </w:r>
    </w:p>
    <w:p w14:paraId="67CE021F">
      <w:pPr>
        <w:pStyle w:val="10"/>
        <w:outlineLvl w:val="0"/>
        <w:rPr>
          <w:rFonts w:ascii="Times New Roman" w:hAnsi="Times New Roman"/>
          <w:b/>
          <w:sz w:val="24"/>
          <w:szCs w:val="24"/>
          <w:u w:val="none"/>
        </w:rPr>
      </w:pPr>
      <w:bookmarkStart w:id="153" w:name="_Toc22171"/>
      <w:bookmarkStart w:id="154" w:name="_Toc19258"/>
      <w:bookmarkStart w:id="155" w:name="_Toc17877831"/>
      <w:bookmarkStart w:id="156" w:name="_Toc14865"/>
      <w:bookmarkStart w:id="157" w:name="_Toc213"/>
      <w:bookmarkStart w:id="158" w:name="_Toc4100"/>
      <w:bookmarkStart w:id="159" w:name="_Toc38803788"/>
      <w:bookmarkStart w:id="160" w:name="_Toc28610"/>
      <w:bookmarkStart w:id="161" w:name="_Toc10824"/>
      <w:bookmarkStart w:id="162" w:name="_Toc2052"/>
      <w:bookmarkStart w:id="163" w:name="_Toc9447"/>
      <w:bookmarkStart w:id="164" w:name="_Toc11533"/>
      <w:bookmarkStart w:id="165" w:name="_Toc27259"/>
      <w:bookmarkStart w:id="166" w:name="_Toc17877497"/>
      <w:bookmarkStart w:id="167" w:name="_Toc18896"/>
      <w:r>
        <w:rPr>
          <w:rFonts w:ascii="Times New Roman" w:hAnsi="Times New Roman"/>
          <w:b/>
          <w:sz w:val="24"/>
          <w:szCs w:val="24"/>
          <w:u w:val="none"/>
        </w:rPr>
        <w:t>2电磁环境影响评价</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EA1D8D4">
      <w:pPr>
        <w:pStyle w:val="10"/>
        <w:outlineLvl w:val="1"/>
        <w:rPr>
          <w:rFonts w:ascii="Times New Roman" w:hAnsi="Times New Roman"/>
          <w:b/>
          <w:bCs/>
          <w:kern w:val="2"/>
          <w:sz w:val="24"/>
          <w:szCs w:val="24"/>
          <w:u w:val="none"/>
        </w:rPr>
      </w:pPr>
      <w:bookmarkStart w:id="168" w:name="_Toc9584"/>
      <w:bookmarkStart w:id="169" w:name="_Toc10484"/>
      <w:bookmarkStart w:id="170" w:name="_Toc3527"/>
      <w:bookmarkStart w:id="171" w:name="_Toc11139"/>
      <w:bookmarkStart w:id="172" w:name="_Toc191"/>
      <w:bookmarkStart w:id="173" w:name="_Toc15499"/>
      <w:bookmarkStart w:id="174" w:name="_Toc24034"/>
      <w:bookmarkStart w:id="175" w:name="_Toc28880"/>
      <w:bookmarkStart w:id="176" w:name="_Toc11724"/>
      <w:r>
        <w:rPr>
          <w:rFonts w:ascii="Times New Roman" w:hAnsi="Times New Roman"/>
          <w:b/>
          <w:bCs/>
          <w:kern w:val="2"/>
          <w:sz w:val="24"/>
          <w:szCs w:val="24"/>
          <w:u w:val="none"/>
        </w:rPr>
        <w:t>2.1电磁环境现状评价</w:t>
      </w:r>
      <w:bookmarkEnd w:id="168"/>
      <w:bookmarkEnd w:id="169"/>
      <w:bookmarkEnd w:id="170"/>
      <w:bookmarkEnd w:id="171"/>
      <w:bookmarkEnd w:id="172"/>
      <w:bookmarkEnd w:id="173"/>
      <w:bookmarkEnd w:id="174"/>
      <w:bookmarkEnd w:id="175"/>
      <w:bookmarkEnd w:id="176"/>
    </w:p>
    <w:p w14:paraId="2B82D214">
      <w:pPr>
        <w:pStyle w:val="10"/>
        <w:outlineLvl w:val="2"/>
        <w:rPr>
          <w:rFonts w:ascii="Times New Roman" w:hAnsi="Times New Roman"/>
          <w:sz w:val="24"/>
          <w:szCs w:val="24"/>
          <w:u w:val="none"/>
        </w:rPr>
      </w:pPr>
      <w:r>
        <w:rPr>
          <w:rFonts w:ascii="Times New Roman" w:hAnsi="Times New Roman"/>
          <w:sz w:val="24"/>
          <w:szCs w:val="24"/>
          <w:u w:val="none"/>
        </w:rPr>
        <w:t>2.1.</w:t>
      </w:r>
      <w:bookmarkStart w:id="177" w:name="_Toc461871510"/>
      <w:r>
        <w:rPr>
          <w:rFonts w:ascii="Times New Roman" w:hAnsi="Times New Roman"/>
          <w:sz w:val="24"/>
          <w:szCs w:val="24"/>
          <w:u w:val="none"/>
        </w:rPr>
        <w:t>1布点原则和监测点位</w:t>
      </w:r>
      <w:bookmarkEnd w:id="177"/>
    </w:p>
    <w:p w14:paraId="01B73981">
      <w:pPr>
        <w:pStyle w:val="10"/>
        <w:ind w:firstLine="480" w:firstLineChars="200"/>
        <w:rPr>
          <w:rFonts w:ascii="Times New Roman" w:hAnsi="Times New Roman"/>
          <w:sz w:val="24"/>
          <w:szCs w:val="24"/>
          <w:u w:val="none"/>
        </w:rPr>
      </w:pPr>
      <w:r>
        <w:rPr>
          <w:rFonts w:ascii="Times New Roman" w:hAnsi="Times New Roman"/>
          <w:sz w:val="24"/>
          <w:szCs w:val="24"/>
          <w:u w:val="none"/>
        </w:rPr>
        <w:t>根据HJ24、HJ681的要求，结合源强的分布情况，选择有代表性的点位进行布设。在变电站</w:t>
      </w:r>
      <w:r>
        <w:rPr>
          <w:rFonts w:hint="eastAsia" w:ascii="Times New Roman" w:hAnsi="Times New Roman"/>
          <w:sz w:val="24"/>
          <w:szCs w:val="24"/>
          <w:u w:val="none"/>
        </w:rPr>
        <w:t>四周</w:t>
      </w:r>
      <w:r>
        <w:rPr>
          <w:rFonts w:ascii="Times New Roman" w:hAnsi="Times New Roman"/>
          <w:sz w:val="24"/>
          <w:szCs w:val="24"/>
          <w:u w:val="none"/>
        </w:rPr>
        <w:t>厂界围墙外且距离围墙5m处设1个监测点位。具体布设的监测点见表2.1-1、附图</w:t>
      </w:r>
      <w:r>
        <w:rPr>
          <w:rFonts w:hint="eastAsia" w:ascii="Times New Roman" w:hAnsi="Times New Roman"/>
          <w:sz w:val="24"/>
          <w:szCs w:val="24"/>
          <w:u w:val="none"/>
        </w:rPr>
        <w:t>4</w:t>
      </w:r>
      <w:r>
        <w:rPr>
          <w:rFonts w:ascii="Times New Roman" w:hAnsi="Times New Roman"/>
          <w:sz w:val="24"/>
          <w:szCs w:val="24"/>
          <w:u w:val="none"/>
        </w:rPr>
        <w:t>。</w:t>
      </w:r>
    </w:p>
    <w:p w14:paraId="64188DBB">
      <w:pPr>
        <w:tabs>
          <w:tab w:val="right" w:leader="dot" w:pos="8190"/>
        </w:tabs>
        <w:adjustRightInd w:val="0"/>
        <w:snapToGrid w:val="0"/>
        <w:jc w:val="center"/>
        <w:rPr>
          <w:b/>
          <w:u w:val="none"/>
        </w:rPr>
      </w:pPr>
      <w:r>
        <w:rPr>
          <w:b/>
          <w:u w:val="none"/>
        </w:rPr>
        <w:t>表2.1-1</w:t>
      </w:r>
      <w:r>
        <w:rPr>
          <w:rFonts w:hint="eastAsia"/>
          <w:b/>
          <w:u w:val="none"/>
          <w:lang w:val="en-US" w:eastAsia="zh-CN"/>
        </w:rPr>
        <w:t>电磁</w:t>
      </w:r>
      <w:r>
        <w:rPr>
          <w:b/>
          <w:u w:val="none"/>
        </w:rPr>
        <w:t>环境保护目标分布情况表</w:t>
      </w:r>
    </w:p>
    <w:tbl>
      <w:tblPr>
        <w:tblStyle w:val="19"/>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325"/>
        <w:gridCol w:w="740"/>
        <w:gridCol w:w="893"/>
        <w:gridCol w:w="1585"/>
        <w:gridCol w:w="1580"/>
        <w:gridCol w:w="1581"/>
      </w:tblGrid>
      <w:tr w14:paraId="1C0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blHeader/>
        </w:trPr>
        <w:tc>
          <w:tcPr>
            <w:tcW w:w="219" w:type="pct"/>
            <w:tcMar>
              <w:left w:w="0" w:type="dxa"/>
              <w:right w:w="0" w:type="dxa"/>
            </w:tcMar>
            <w:vAlign w:val="center"/>
          </w:tcPr>
          <w:p w14:paraId="48A2075F">
            <w:pPr>
              <w:pStyle w:val="30"/>
              <w:spacing w:before="97" w:after="163"/>
              <w:rPr>
                <w:u w:val="none"/>
              </w:rPr>
            </w:pPr>
            <w:r>
              <w:rPr>
                <w:u w:val="none"/>
              </w:rPr>
              <w:t>序号</w:t>
            </w:r>
          </w:p>
        </w:tc>
        <w:tc>
          <w:tcPr>
            <w:tcW w:w="1276" w:type="pct"/>
            <w:tcMar>
              <w:left w:w="0" w:type="dxa"/>
              <w:right w:w="0" w:type="dxa"/>
            </w:tcMar>
            <w:vAlign w:val="center"/>
          </w:tcPr>
          <w:p w14:paraId="762A4BD6">
            <w:pPr>
              <w:pStyle w:val="30"/>
              <w:spacing w:before="97" w:after="163"/>
              <w:rPr>
                <w:u w:val="none"/>
              </w:rPr>
            </w:pPr>
            <w:r>
              <w:rPr>
                <w:u w:val="none"/>
              </w:rPr>
              <w:t>名称</w:t>
            </w:r>
          </w:p>
        </w:tc>
        <w:tc>
          <w:tcPr>
            <w:tcW w:w="406" w:type="pct"/>
            <w:tcMar>
              <w:left w:w="0" w:type="dxa"/>
              <w:right w:w="0" w:type="dxa"/>
            </w:tcMar>
            <w:vAlign w:val="center"/>
          </w:tcPr>
          <w:p w14:paraId="3D0D7C2C">
            <w:pPr>
              <w:pStyle w:val="30"/>
              <w:spacing w:before="97" w:after="163"/>
              <w:rPr>
                <w:u w:val="none"/>
              </w:rPr>
            </w:pPr>
            <w:r>
              <w:rPr>
                <w:u w:val="none"/>
              </w:rPr>
              <w:t>功能</w:t>
            </w:r>
          </w:p>
        </w:tc>
        <w:tc>
          <w:tcPr>
            <w:tcW w:w="490" w:type="pct"/>
            <w:vAlign w:val="center"/>
          </w:tcPr>
          <w:p w14:paraId="4CF0CBEA">
            <w:pPr>
              <w:pStyle w:val="30"/>
              <w:spacing w:before="97" w:after="163"/>
              <w:rPr>
                <w:u w:val="none"/>
              </w:rPr>
            </w:pPr>
            <w:r>
              <w:rPr>
                <w:u w:val="none"/>
              </w:rPr>
              <w:t>评价范围内规模</w:t>
            </w:r>
          </w:p>
        </w:tc>
        <w:tc>
          <w:tcPr>
            <w:tcW w:w="870" w:type="pct"/>
            <w:tcMar>
              <w:left w:w="0" w:type="dxa"/>
              <w:right w:w="0" w:type="dxa"/>
            </w:tcMar>
            <w:vAlign w:val="center"/>
          </w:tcPr>
          <w:p w14:paraId="5EFBD150">
            <w:pPr>
              <w:pStyle w:val="30"/>
              <w:spacing w:before="97" w:after="163"/>
              <w:rPr>
                <w:u w:val="none"/>
              </w:rPr>
            </w:pPr>
            <w:r>
              <w:rPr>
                <w:u w:val="none"/>
              </w:rPr>
              <w:t>建筑特征</w:t>
            </w:r>
          </w:p>
        </w:tc>
        <w:tc>
          <w:tcPr>
            <w:tcW w:w="867" w:type="pct"/>
            <w:tcMar>
              <w:left w:w="0" w:type="dxa"/>
              <w:right w:w="0" w:type="dxa"/>
            </w:tcMar>
            <w:vAlign w:val="center"/>
          </w:tcPr>
          <w:p w14:paraId="126BB2E1">
            <w:pPr>
              <w:pStyle w:val="30"/>
              <w:spacing w:before="97" w:after="163"/>
              <w:rPr>
                <w:u w:val="none"/>
              </w:rPr>
            </w:pPr>
            <w:r>
              <w:rPr>
                <w:u w:val="none"/>
              </w:rPr>
              <w:t>与本项目</w:t>
            </w:r>
          </w:p>
          <w:p w14:paraId="65E2F2AC">
            <w:pPr>
              <w:pStyle w:val="30"/>
              <w:spacing w:before="97" w:after="163"/>
              <w:rPr>
                <w:u w:val="none"/>
              </w:rPr>
            </w:pPr>
            <w:r>
              <w:rPr>
                <w:u w:val="none"/>
              </w:rPr>
              <w:t>位置关系</w:t>
            </w:r>
          </w:p>
        </w:tc>
        <w:tc>
          <w:tcPr>
            <w:tcW w:w="868" w:type="pct"/>
            <w:tcMar>
              <w:left w:w="0" w:type="dxa"/>
              <w:right w:w="0" w:type="dxa"/>
            </w:tcMar>
            <w:vAlign w:val="center"/>
          </w:tcPr>
          <w:p w14:paraId="0A67E108">
            <w:pPr>
              <w:pStyle w:val="30"/>
              <w:spacing w:before="97" w:after="163"/>
              <w:rPr>
                <w:u w:val="none"/>
              </w:rPr>
            </w:pPr>
            <w:r>
              <w:rPr>
                <w:u w:val="none"/>
              </w:rPr>
              <w:t>是否具备平台监测条件</w:t>
            </w:r>
          </w:p>
        </w:tc>
      </w:tr>
      <w:tr w14:paraId="1B20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trPr>
        <w:tc>
          <w:tcPr>
            <w:tcW w:w="219" w:type="pct"/>
            <w:tcMar>
              <w:left w:w="0" w:type="dxa"/>
              <w:right w:w="0" w:type="dxa"/>
            </w:tcMar>
            <w:vAlign w:val="center"/>
          </w:tcPr>
          <w:p w14:paraId="1E313A15">
            <w:pPr>
              <w:pStyle w:val="32"/>
              <w:rPr>
                <w:szCs w:val="21"/>
                <w:u w:val="none"/>
              </w:rPr>
            </w:pPr>
            <w:r>
              <w:rPr>
                <w:szCs w:val="21"/>
                <w:u w:val="none"/>
              </w:rPr>
              <w:t>1</w:t>
            </w:r>
          </w:p>
        </w:tc>
        <w:tc>
          <w:tcPr>
            <w:tcW w:w="1276" w:type="pct"/>
            <w:tcMar>
              <w:left w:w="0" w:type="dxa"/>
              <w:right w:w="0" w:type="dxa"/>
            </w:tcMar>
            <w:vAlign w:val="center"/>
          </w:tcPr>
          <w:p w14:paraId="3ECA2C7C">
            <w:pPr>
              <w:pStyle w:val="32"/>
              <w:rPr>
                <w:u w:val="none"/>
                <w:lang w:eastAsia="zh-CN"/>
              </w:rPr>
            </w:pPr>
            <w:r>
              <w:rPr>
                <w:rFonts w:hint="eastAsia"/>
                <w:u w:val="none"/>
                <w:lang w:eastAsia="zh-CN"/>
              </w:rPr>
              <w:t>柳州市骏铭印刷厂</w:t>
            </w:r>
          </w:p>
        </w:tc>
        <w:tc>
          <w:tcPr>
            <w:tcW w:w="406" w:type="pct"/>
            <w:vAlign w:val="center"/>
          </w:tcPr>
          <w:p w14:paraId="037AAC2E">
            <w:pPr>
              <w:pStyle w:val="32"/>
              <w:rPr>
                <w:u w:val="none"/>
                <w:lang w:eastAsia="zh-CN"/>
              </w:rPr>
            </w:pPr>
            <w:r>
              <w:rPr>
                <w:rFonts w:hint="eastAsia"/>
                <w:u w:val="none"/>
                <w:lang w:eastAsia="zh-CN"/>
              </w:rPr>
              <w:t>\</w:t>
            </w:r>
          </w:p>
        </w:tc>
        <w:tc>
          <w:tcPr>
            <w:tcW w:w="490" w:type="pct"/>
            <w:vAlign w:val="center"/>
          </w:tcPr>
          <w:p w14:paraId="3FCCC8FE">
            <w:pPr>
              <w:pStyle w:val="32"/>
              <w:rPr>
                <w:u w:val="none"/>
                <w:lang w:eastAsia="zh-CN"/>
              </w:rPr>
            </w:pPr>
            <w:r>
              <w:rPr>
                <w:rFonts w:hint="eastAsia"/>
                <w:u w:val="none"/>
                <w:lang w:eastAsia="zh-CN"/>
              </w:rPr>
              <w:t>\</w:t>
            </w:r>
          </w:p>
        </w:tc>
        <w:tc>
          <w:tcPr>
            <w:tcW w:w="870" w:type="pct"/>
            <w:tcMar>
              <w:left w:w="0" w:type="dxa"/>
              <w:right w:w="0" w:type="dxa"/>
            </w:tcMar>
            <w:vAlign w:val="center"/>
          </w:tcPr>
          <w:p w14:paraId="17229630">
            <w:pPr>
              <w:pStyle w:val="32"/>
              <w:rPr>
                <w:u w:val="none"/>
              </w:rPr>
            </w:pPr>
            <w:r>
              <w:rPr>
                <w:u w:val="none"/>
                <w:lang w:eastAsia="zh-CN"/>
              </w:rPr>
              <w:t>1层平顶高度</w:t>
            </w:r>
            <w:r>
              <w:rPr>
                <w:rFonts w:hint="eastAsia"/>
                <w:u w:val="none"/>
                <w:lang w:eastAsia="zh-CN"/>
              </w:rPr>
              <w:t>20</w:t>
            </w:r>
            <w:r>
              <w:rPr>
                <w:u w:val="none"/>
                <w:lang w:eastAsia="zh-CN"/>
              </w:rPr>
              <w:t>m</w:t>
            </w:r>
          </w:p>
        </w:tc>
        <w:tc>
          <w:tcPr>
            <w:tcW w:w="867" w:type="pct"/>
            <w:tcMar>
              <w:left w:w="0" w:type="dxa"/>
              <w:right w:w="0" w:type="dxa"/>
            </w:tcMar>
            <w:vAlign w:val="center"/>
          </w:tcPr>
          <w:p w14:paraId="45F216FA">
            <w:pPr>
              <w:pStyle w:val="32"/>
              <w:rPr>
                <w:u w:val="none"/>
                <w:lang w:eastAsia="zh-CN"/>
              </w:rPr>
            </w:pPr>
            <w:r>
              <w:rPr>
                <w:rFonts w:hint="eastAsia"/>
                <w:u w:val="none"/>
                <w:lang w:eastAsia="zh-CN"/>
              </w:rPr>
              <w:t>厂界</w:t>
            </w:r>
            <w:r>
              <w:rPr>
                <w:rFonts w:hint="eastAsia"/>
                <w:u w:val="none"/>
                <w:lang w:val="en-US" w:eastAsia="zh-CN"/>
              </w:rPr>
              <w:t>西</w:t>
            </w:r>
            <w:r>
              <w:rPr>
                <w:u w:val="none"/>
              </w:rPr>
              <w:t>侧</w:t>
            </w:r>
            <w:r>
              <w:rPr>
                <w:rFonts w:hint="eastAsia"/>
                <w:u w:val="none"/>
                <w:lang w:val="en-US" w:eastAsia="zh-CN"/>
              </w:rPr>
              <w:t>13</w:t>
            </w:r>
            <w:r>
              <w:rPr>
                <w:u w:val="none"/>
              </w:rPr>
              <w:t>m</w:t>
            </w:r>
          </w:p>
        </w:tc>
        <w:tc>
          <w:tcPr>
            <w:tcW w:w="868" w:type="pct"/>
            <w:tcMar>
              <w:left w:w="0" w:type="dxa"/>
              <w:right w:w="0" w:type="dxa"/>
            </w:tcMar>
            <w:vAlign w:val="center"/>
          </w:tcPr>
          <w:p w14:paraId="39076ED7">
            <w:pPr>
              <w:pStyle w:val="32"/>
              <w:rPr>
                <w:szCs w:val="21"/>
                <w:u w:val="none"/>
                <w:lang w:eastAsia="zh-CN"/>
              </w:rPr>
            </w:pPr>
            <w:r>
              <w:rPr>
                <w:szCs w:val="21"/>
                <w:u w:val="none"/>
                <w:lang w:eastAsia="zh-CN"/>
              </w:rPr>
              <w:t>否</w:t>
            </w:r>
          </w:p>
        </w:tc>
      </w:tr>
    </w:tbl>
    <w:p w14:paraId="2C5788A8">
      <w:pPr>
        <w:tabs>
          <w:tab w:val="right" w:leader="dot" w:pos="8190"/>
        </w:tabs>
        <w:adjustRightInd w:val="0"/>
        <w:snapToGrid w:val="0"/>
        <w:jc w:val="center"/>
        <w:rPr>
          <w:b/>
          <w:u w:val="none"/>
        </w:rPr>
      </w:pPr>
    </w:p>
    <w:p w14:paraId="2BFE2E51">
      <w:pPr>
        <w:pStyle w:val="10"/>
        <w:outlineLvl w:val="2"/>
        <w:rPr>
          <w:rFonts w:ascii="Times New Roman" w:hAnsi="Times New Roman"/>
          <w:bCs/>
          <w:sz w:val="24"/>
          <w:szCs w:val="24"/>
          <w:u w:val="none"/>
        </w:rPr>
      </w:pPr>
      <w:bookmarkStart w:id="178" w:name="_Toc461871511"/>
      <w:r>
        <w:rPr>
          <w:rFonts w:ascii="Times New Roman" w:hAnsi="Times New Roman"/>
          <w:bCs/>
          <w:sz w:val="24"/>
          <w:szCs w:val="24"/>
          <w:u w:val="none"/>
        </w:rPr>
        <w:t>2.1.2监测频次</w:t>
      </w:r>
      <w:bookmarkEnd w:id="178"/>
    </w:p>
    <w:p w14:paraId="1D7AB821">
      <w:pPr>
        <w:pStyle w:val="10"/>
        <w:ind w:firstLine="480" w:firstLineChars="200"/>
        <w:rPr>
          <w:rFonts w:ascii="Times New Roman" w:hAnsi="Times New Roman"/>
          <w:b/>
          <w:bCs/>
          <w:sz w:val="24"/>
          <w:szCs w:val="24"/>
          <w:u w:val="none"/>
        </w:rPr>
      </w:pPr>
      <w:r>
        <w:rPr>
          <w:rFonts w:ascii="Times New Roman" w:hAnsi="Times New Roman"/>
          <w:sz w:val="24"/>
          <w:szCs w:val="24"/>
          <w:u w:val="none"/>
        </w:rPr>
        <w:t>各监测点位监测一次。</w:t>
      </w:r>
    </w:p>
    <w:p w14:paraId="3B569696">
      <w:pPr>
        <w:pStyle w:val="10"/>
        <w:outlineLvl w:val="2"/>
        <w:rPr>
          <w:rFonts w:ascii="Times New Roman" w:hAnsi="Times New Roman"/>
          <w:sz w:val="24"/>
          <w:szCs w:val="24"/>
          <w:u w:val="none"/>
        </w:rPr>
      </w:pPr>
      <w:bookmarkStart w:id="179" w:name="_Toc461871512"/>
      <w:r>
        <w:rPr>
          <w:rFonts w:ascii="Times New Roman" w:hAnsi="Times New Roman"/>
          <w:sz w:val="24"/>
          <w:szCs w:val="24"/>
          <w:u w:val="none"/>
        </w:rPr>
        <w:t>2.1.3</w:t>
      </w:r>
      <w:bookmarkEnd w:id="179"/>
      <w:r>
        <w:rPr>
          <w:rFonts w:ascii="Times New Roman" w:hAnsi="Times New Roman"/>
          <w:sz w:val="24"/>
          <w:szCs w:val="24"/>
          <w:u w:val="none"/>
        </w:rPr>
        <w:t>监测时间、环境及运行工况</w:t>
      </w:r>
    </w:p>
    <w:p w14:paraId="7E02E43C">
      <w:pPr>
        <w:ind w:firstLine="480" w:firstLineChars="200"/>
        <w:rPr>
          <w:u w:val="none"/>
        </w:rPr>
      </w:pPr>
      <w:bookmarkStart w:id="180" w:name="_Toc461871513"/>
      <w:r>
        <w:rPr>
          <w:rFonts w:hint="eastAsia"/>
          <w:u w:val="none"/>
        </w:rPr>
        <w:t>广西壮族自治区辐射环境监督管理站</w:t>
      </w:r>
      <w:r>
        <w:rPr>
          <w:u w:val="none"/>
        </w:rPr>
        <w:t>于202</w:t>
      </w:r>
      <w:r>
        <w:rPr>
          <w:rFonts w:hint="eastAsia"/>
          <w:u w:val="none"/>
          <w:lang w:val="en-US" w:eastAsia="zh-CN"/>
        </w:rPr>
        <w:t>5</w:t>
      </w:r>
      <w:r>
        <w:rPr>
          <w:u w:val="none"/>
        </w:rPr>
        <w:t>年</w:t>
      </w:r>
      <w:r>
        <w:rPr>
          <w:rFonts w:hint="eastAsia"/>
          <w:u w:val="none"/>
          <w:lang w:val="en-US" w:eastAsia="zh-CN"/>
        </w:rPr>
        <w:t>5</w:t>
      </w:r>
      <w:r>
        <w:rPr>
          <w:u w:val="none"/>
        </w:rPr>
        <w:t>月</w:t>
      </w:r>
      <w:r>
        <w:rPr>
          <w:rFonts w:hint="eastAsia"/>
          <w:u w:val="none"/>
          <w:lang w:val="en-US" w:eastAsia="zh-CN"/>
        </w:rPr>
        <w:t>19</w:t>
      </w:r>
      <w:r>
        <w:rPr>
          <w:u w:val="none"/>
        </w:rPr>
        <w:t>日对</w:t>
      </w:r>
      <w:r>
        <w:rPr>
          <w:rFonts w:hint="eastAsia"/>
          <w:u w:val="none"/>
        </w:rPr>
        <w:t>220kV</w:t>
      </w:r>
      <w:r>
        <w:rPr>
          <w:rFonts w:hint="eastAsia"/>
          <w:u w:val="none"/>
          <w:lang w:val="en-US" w:eastAsia="zh-CN"/>
        </w:rPr>
        <w:t>果山</w:t>
      </w:r>
      <w:r>
        <w:rPr>
          <w:u w:val="none"/>
        </w:rPr>
        <w:t>变电站进行了监测，各点位工频电场、工频磁场白天监测一次。工作时间选在8：30~10：00。监测环境</w:t>
      </w:r>
      <w:r>
        <w:rPr>
          <w:rFonts w:hint="eastAsia"/>
          <w:u w:val="none"/>
          <w:lang w:val="en-US" w:eastAsia="zh-CN"/>
        </w:rPr>
        <w:t>及运行工况</w:t>
      </w:r>
      <w:r>
        <w:rPr>
          <w:u w:val="none"/>
        </w:rPr>
        <w:t>见表2.1-2</w:t>
      </w:r>
      <w:r>
        <w:rPr>
          <w:rFonts w:hint="eastAsia"/>
          <w:u w:val="none"/>
          <w:lang w:val="en-US" w:eastAsia="zh-CN"/>
        </w:rPr>
        <w:t>和表2.1-3。</w:t>
      </w:r>
    </w:p>
    <w:p w14:paraId="75C1674B">
      <w:pPr>
        <w:pStyle w:val="9"/>
        <w:rPr>
          <w:u w:val="none"/>
        </w:rPr>
      </w:pPr>
    </w:p>
    <w:p w14:paraId="6DB1A8ED">
      <w:pPr>
        <w:pStyle w:val="9"/>
        <w:rPr>
          <w:u w:val="none"/>
        </w:rPr>
      </w:pPr>
    </w:p>
    <w:p w14:paraId="7F31FF8D">
      <w:pPr>
        <w:pStyle w:val="30"/>
        <w:spacing w:before="97" w:after="163"/>
        <w:rPr>
          <w:sz w:val="24"/>
          <w:u w:val="none"/>
          <w:lang w:val="zh-CN"/>
        </w:rPr>
      </w:pPr>
      <w:r>
        <w:rPr>
          <w:sz w:val="24"/>
          <w:u w:val="none"/>
          <w:lang w:val="zh-CN"/>
        </w:rPr>
        <w:t>表</w:t>
      </w:r>
      <w:r>
        <w:rPr>
          <w:sz w:val="24"/>
          <w:u w:val="none"/>
        </w:rPr>
        <w:t>2.1-2</w:t>
      </w:r>
      <w:r>
        <w:rPr>
          <w:sz w:val="24"/>
          <w:u w:val="none"/>
          <w:lang w:val="zh-CN"/>
        </w:rPr>
        <w:t>监测时间气象条件</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75"/>
        <w:gridCol w:w="1953"/>
        <w:gridCol w:w="1726"/>
        <w:gridCol w:w="1128"/>
        <w:gridCol w:w="1434"/>
      </w:tblGrid>
      <w:tr w14:paraId="61E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7396332E">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监测时间</w:t>
            </w:r>
          </w:p>
        </w:tc>
        <w:tc>
          <w:tcPr>
            <w:tcW w:w="1275" w:type="dxa"/>
            <w:vAlign w:val="center"/>
          </w:tcPr>
          <w:p w14:paraId="2A29C997">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天气状况</w:t>
            </w:r>
          </w:p>
        </w:tc>
        <w:tc>
          <w:tcPr>
            <w:tcW w:w="1953" w:type="dxa"/>
            <w:vAlign w:val="center"/>
          </w:tcPr>
          <w:p w14:paraId="54DE3E19">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环境温度（℃）</w:t>
            </w:r>
          </w:p>
        </w:tc>
        <w:tc>
          <w:tcPr>
            <w:tcW w:w="1726" w:type="dxa"/>
            <w:vAlign w:val="center"/>
          </w:tcPr>
          <w:p w14:paraId="590AC274">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相对湿度（%）</w:t>
            </w:r>
          </w:p>
        </w:tc>
        <w:tc>
          <w:tcPr>
            <w:tcW w:w="1128" w:type="dxa"/>
            <w:vAlign w:val="center"/>
          </w:tcPr>
          <w:p w14:paraId="125412B9">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风向</w:t>
            </w:r>
          </w:p>
        </w:tc>
        <w:tc>
          <w:tcPr>
            <w:tcW w:w="1434" w:type="dxa"/>
            <w:vAlign w:val="center"/>
          </w:tcPr>
          <w:p w14:paraId="1906DED7">
            <w:pPr>
              <w:spacing w:line="360" w:lineRule="exact"/>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风速（m/s）</w:t>
            </w:r>
          </w:p>
        </w:tc>
      </w:tr>
      <w:tr w14:paraId="091C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2617E645">
            <w:pPr>
              <w:widowControl/>
              <w:jc w:val="center"/>
              <w:textAlignment w:val="center"/>
              <w:rPr>
                <w:rFonts w:hint="default" w:ascii="Times New Roman" w:hAnsi="Times New Roman" w:eastAsia="宋体" w:cs="Times New Roman"/>
                <w:color w:val="000000"/>
                <w:kern w:val="0"/>
                <w:sz w:val="21"/>
                <w:szCs w:val="21"/>
                <w:highlight w:val="none"/>
                <w:u w:val="none"/>
                <w:lang w:bidi="ar"/>
              </w:rPr>
            </w:pPr>
            <w:r>
              <w:rPr>
                <w:rFonts w:hint="default" w:ascii="Times New Roman" w:hAnsi="Times New Roman" w:eastAsia="宋体" w:cs="Times New Roman"/>
                <w:color w:val="000000"/>
                <w:kern w:val="0"/>
                <w:sz w:val="21"/>
                <w:szCs w:val="21"/>
                <w:highlight w:val="none"/>
                <w:u w:val="none"/>
                <w:lang w:bidi="ar"/>
              </w:rPr>
              <w:t>202</w:t>
            </w:r>
            <w:r>
              <w:rPr>
                <w:rFonts w:hint="default" w:ascii="Times New Roman" w:hAnsi="Times New Roman" w:eastAsia="宋体" w:cs="Times New Roman"/>
                <w:color w:val="000000"/>
                <w:kern w:val="0"/>
                <w:sz w:val="21"/>
                <w:szCs w:val="21"/>
                <w:highlight w:val="none"/>
                <w:u w:val="none"/>
                <w:lang w:val="en-US" w:eastAsia="zh-CN" w:bidi="ar"/>
              </w:rPr>
              <w:t>5</w:t>
            </w:r>
            <w:r>
              <w:rPr>
                <w:rFonts w:hint="default" w:ascii="Times New Roman" w:hAnsi="Times New Roman" w:eastAsia="宋体" w:cs="Times New Roman"/>
                <w:color w:val="000000"/>
                <w:kern w:val="0"/>
                <w:sz w:val="21"/>
                <w:szCs w:val="21"/>
                <w:highlight w:val="none"/>
                <w:u w:val="none"/>
                <w:lang w:bidi="ar"/>
              </w:rPr>
              <w:t>.</w:t>
            </w:r>
            <w:r>
              <w:rPr>
                <w:rFonts w:hint="default" w:ascii="Times New Roman" w:hAnsi="Times New Roman" w:eastAsia="宋体" w:cs="Times New Roman"/>
                <w:color w:val="000000"/>
                <w:kern w:val="0"/>
                <w:sz w:val="21"/>
                <w:szCs w:val="21"/>
                <w:highlight w:val="none"/>
                <w:u w:val="none"/>
                <w:lang w:val="en-US" w:eastAsia="zh-CN" w:bidi="ar"/>
              </w:rPr>
              <w:t>5</w:t>
            </w:r>
            <w:r>
              <w:rPr>
                <w:rFonts w:hint="default" w:ascii="Times New Roman" w:hAnsi="Times New Roman" w:eastAsia="宋体" w:cs="Times New Roman"/>
                <w:color w:val="000000"/>
                <w:kern w:val="0"/>
                <w:sz w:val="21"/>
                <w:szCs w:val="21"/>
                <w:highlight w:val="none"/>
                <w:u w:val="none"/>
                <w:lang w:bidi="ar"/>
              </w:rPr>
              <w:t>.</w:t>
            </w:r>
            <w:r>
              <w:rPr>
                <w:rFonts w:hint="default" w:ascii="Times New Roman" w:hAnsi="Times New Roman" w:eastAsia="宋体" w:cs="Times New Roman"/>
                <w:color w:val="000000"/>
                <w:kern w:val="0"/>
                <w:sz w:val="21"/>
                <w:szCs w:val="21"/>
                <w:highlight w:val="none"/>
                <w:u w:val="none"/>
                <w:lang w:val="en-US" w:eastAsia="zh-CN" w:bidi="ar"/>
              </w:rPr>
              <w:t>19</w:t>
            </w:r>
            <w:r>
              <w:rPr>
                <w:rFonts w:hint="default" w:ascii="Times New Roman" w:hAnsi="Times New Roman" w:eastAsia="宋体" w:cs="Times New Roman"/>
                <w:color w:val="000000"/>
                <w:kern w:val="0"/>
                <w:sz w:val="21"/>
                <w:szCs w:val="21"/>
                <w:highlight w:val="none"/>
                <w:u w:val="none"/>
                <w:lang w:bidi="ar"/>
              </w:rPr>
              <w:t>昼间</w:t>
            </w:r>
          </w:p>
        </w:tc>
        <w:tc>
          <w:tcPr>
            <w:tcW w:w="1275" w:type="dxa"/>
            <w:vAlign w:val="center"/>
          </w:tcPr>
          <w:p w14:paraId="7519E13E">
            <w:pPr>
              <w:widowControl/>
              <w:jc w:val="center"/>
              <w:textAlignment w:val="center"/>
              <w:rPr>
                <w:rFonts w:hint="default" w:ascii="Times New Roman" w:hAnsi="Times New Roman" w:eastAsia="宋体" w:cs="Times New Roman"/>
                <w:color w:val="000000"/>
                <w:kern w:val="0"/>
                <w:sz w:val="21"/>
                <w:szCs w:val="21"/>
                <w:highlight w:val="none"/>
                <w:u w:val="none"/>
                <w:lang w:bidi="ar"/>
              </w:rPr>
            </w:pPr>
            <w:r>
              <w:rPr>
                <w:rFonts w:hint="default" w:ascii="Times New Roman" w:hAnsi="Times New Roman" w:eastAsia="宋体" w:cs="Times New Roman"/>
                <w:color w:val="000000"/>
                <w:kern w:val="0"/>
                <w:sz w:val="21"/>
                <w:szCs w:val="21"/>
                <w:highlight w:val="none"/>
                <w:u w:val="none"/>
                <w:lang w:val="en-US" w:eastAsia="zh-CN" w:bidi="ar"/>
              </w:rPr>
              <w:t>阴</w:t>
            </w:r>
          </w:p>
        </w:tc>
        <w:tc>
          <w:tcPr>
            <w:tcW w:w="1953" w:type="dxa"/>
            <w:vAlign w:val="center"/>
          </w:tcPr>
          <w:p w14:paraId="179E2831">
            <w:pPr>
              <w:widowControl/>
              <w:jc w:val="center"/>
              <w:textAlignment w:val="center"/>
              <w:rPr>
                <w:rFonts w:hint="default" w:ascii="Times New Roman" w:hAnsi="Times New Roman" w:eastAsia="宋体" w:cs="Times New Roman"/>
                <w:color w:val="000000"/>
                <w:kern w:val="0"/>
                <w:sz w:val="21"/>
                <w:szCs w:val="21"/>
                <w:highlight w:val="none"/>
                <w:u w:val="none"/>
                <w:lang w:val="en-US" w:bidi="ar"/>
              </w:rPr>
            </w:pPr>
            <w:r>
              <w:rPr>
                <w:rFonts w:hint="default" w:ascii="Times New Roman" w:hAnsi="Times New Roman" w:eastAsia="宋体" w:cs="Times New Roman"/>
                <w:color w:val="000000"/>
                <w:kern w:val="0"/>
                <w:sz w:val="21"/>
                <w:szCs w:val="21"/>
                <w:highlight w:val="none"/>
                <w:u w:val="none"/>
                <w:lang w:val="en-US" w:eastAsia="zh-CN" w:bidi="ar"/>
              </w:rPr>
              <w:t>25.4~27.8</w:t>
            </w:r>
          </w:p>
        </w:tc>
        <w:tc>
          <w:tcPr>
            <w:tcW w:w="1726" w:type="dxa"/>
            <w:vAlign w:val="center"/>
          </w:tcPr>
          <w:p w14:paraId="20B69376">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65.3~67.7</w:t>
            </w:r>
          </w:p>
        </w:tc>
        <w:tc>
          <w:tcPr>
            <w:tcW w:w="1128" w:type="dxa"/>
            <w:vAlign w:val="center"/>
          </w:tcPr>
          <w:p w14:paraId="7DD2FD2A">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西</w:t>
            </w:r>
          </w:p>
        </w:tc>
        <w:tc>
          <w:tcPr>
            <w:tcW w:w="1434" w:type="dxa"/>
            <w:vAlign w:val="center"/>
          </w:tcPr>
          <w:p w14:paraId="4637FC3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0.5~1.0</w:t>
            </w:r>
          </w:p>
        </w:tc>
      </w:tr>
    </w:tbl>
    <w:p w14:paraId="580F9049">
      <w:pPr>
        <w:rPr>
          <w:u w:val="none"/>
        </w:rPr>
      </w:pPr>
    </w:p>
    <w:p w14:paraId="771CA811">
      <w:pPr>
        <w:pStyle w:val="30"/>
        <w:spacing w:before="97" w:after="163"/>
        <w:rPr>
          <w:sz w:val="24"/>
          <w:u w:val="none"/>
          <w:lang w:val="zh-CN"/>
        </w:rPr>
      </w:pPr>
      <w:r>
        <w:rPr>
          <w:sz w:val="24"/>
          <w:u w:val="none"/>
          <w:lang w:val="zh-CN"/>
        </w:rPr>
        <w:t>表2.1-</w:t>
      </w:r>
      <w:r>
        <w:rPr>
          <w:rFonts w:hint="eastAsia"/>
          <w:sz w:val="24"/>
          <w:u w:val="none"/>
          <w:lang w:val="en-US" w:eastAsia="zh-CN"/>
        </w:rPr>
        <w:t>3</w:t>
      </w:r>
      <w:r>
        <w:rPr>
          <w:sz w:val="24"/>
          <w:u w:val="none"/>
          <w:lang w:val="zh-CN"/>
        </w:rPr>
        <w:t>监测时间气象条件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328"/>
        <w:gridCol w:w="1336"/>
        <w:gridCol w:w="1221"/>
        <w:gridCol w:w="1839"/>
        <w:gridCol w:w="1917"/>
      </w:tblGrid>
      <w:tr w14:paraId="3F5F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E59850A">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序号</w:t>
            </w:r>
          </w:p>
        </w:tc>
        <w:tc>
          <w:tcPr>
            <w:tcW w:w="1253" w:type="pct"/>
            <w:vAlign w:val="center"/>
          </w:tcPr>
          <w:p w14:paraId="722181B9">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220千伏果山变电站</w:t>
            </w:r>
          </w:p>
        </w:tc>
        <w:tc>
          <w:tcPr>
            <w:tcW w:w="719" w:type="pct"/>
            <w:vAlign w:val="center"/>
          </w:tcPr>
          <w:p w14:paraId="25E64A67">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电压（kV）</w:t>
            </w:r>
          </w:p>
        </w:tc>
        <w:tc>
          <w:tcPr>
            <w:tcW w:w="657" w:type="pct"/>
            <w:vAlign w:val="center"/>
          </w:tcPr>
          <w:p w14:paraId="6198CF37">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电流（A）</w:t>
            </w:r>
          </w:p>
        </w:tc>
        <w:tc>
          <w:tcPr>
            <w:tcW w:w="990" w:type="pct"/>
            <w:vAlign w:val="center"/>
          </w:tcPr>
          <w:p w14:paraId="587ABBE4">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有效功率（MW）</w:t>
            </w:r>
          </w:p>
        </w:tc>
        <w:tc>
          <w:tcPr>
            <w:tcW w:w="1032" w:type="pct"/>
            <w:vAlign w:val="center"/>
          </w:tcPr>
          <w:p w14:paraId="619878F6">
            <w:pPr>
              <w:pStyle w:val="53"/>
              <w:adjustRightInd/>
              <w:snapToGrid w:val="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无功功率（Mvar）</w:t>
            </w:r>
          </w:p>
        </w:tc>
      </w:tr>
      <w:tr w14:paraId="05D8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0708C974">
            <w:pPr>
              <w:pStyle w:val="53"/>
              <w:adjustRightInd/>
              <w:snapToGrid w:val="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253" w:type="pct"/>
            <w:vAlign w:val="center"/>
          </w:tcPr>
          <w:p w14:paraId="5E1B223E">
            <w:pPr>
              <w:pStyle w:val="53"/>
              <w:adjustRightInd/>
              <w:snapToGrid w:val="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1#主变</w:t>
            </w:r>
          </w:p>
        </w:tc>
        <w:tc>
          <w:tcPr>
            <w:tcW w:w="719" w:type="pct"/>
            <w:vAlign w:val="center"/>
          </w:tcPr>
          <w:p w14:paraId="04700256">
            <w:pPr>
              <w:pStyle w:val="53"/>
              <w:adjustRightInd/>
              <w:snapToGrid w:val="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220</w:t>
            </w:r>
          </w:p>
        </w:tc>
        <w:tc>
          <w:tcPr>
            <w:tcW w:w="657" w:type="pct"/>
            <w:vAlign w:val="center"/>
          </w:tcPr>
          <w:p w14:paraId="5CEF1E3A">
            <w:pPr>
              <w:pStyle w:val="53"/>
              <w:adjustRightInd/>
              <w:snapToGrid w:val="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247</w:t>
            </w:r>
          </w:p>
        </w:tc>
        <w:tc>
          <w:tcPr>
            <w:tcW w:w="990" w:type="pct"/>
            <w:vAlign w:val="center"/>
          </w:tcPr>
          <w:p w14:paraId="4C654B9D">
            <w:pPr>
              <w:pStyle w:val="53"/>
              <w:adjustRightInd/>
              <w:snapToGrid w:val="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115.9</w:t>
            </w:r>
          </w:p>
        </w:tc>
        <w:tc>
          <w:tcPr>
            <w:tcW w:w="1032" w:type="pct"/>
            <w:vAlign w:val="center"/>
          </w:tcPr>
          <w:p w14:paraId="6A77E365">
            <w:pPr>
              <w:pStyle w:val="53"/>
              <w:adjustRightInd/>
              <w:snapToGrid w:val="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7.9</w:t>
            </w:r>
          </w:p>
        </w:tc>
      </w:tr>
    </w:tbl>
    <w:p w14:paraId="314F1FC6">
      <w:pPr>
        <w:pStyle w:val="30"/>
        <w:spacing w:before="97" w:after="163"/>
        <w:rPr>
          <w:sz w:val="24"/>
          <w:u w:val="none"/>
          <w:lang w:val="zh-CN"/>
        </w:rPr>
      </w:pPr>
    </w:p>
    <w:p w14:paraId="774A9A05">
      <w:pPr>
        <w:pStyle w:val="10"/>
        <w:outlineLvl w:val="2"/>
        <w:rPr>
          <w:rFonts w:ascii="Times New Roman" w:hAnsi="Times New Roman"/>
          <w:bCs/>
          <w:sz w:val="24"/>
          <w:szCs w:val="24"/>
          <w:u w:val="none"/>
        </w:rPr>
      </w:pPr>
      <w:r>
        <w:rPr>
          <w:rFonts w:ascii="Times New Roman" w:hAnsi="Times New Roman"/>
          <w:bCs/>
          <w:sz w:val="24"/>
          <w:szCs w:val="24"/>
          <w:u w:val="none"/>
        </w:rPr>
        <w:t>2.1.</w:t>
      </w:r>
      <w:bookmarkEnd w:id="180"/>
      <w:r>
        <w:rPr>
          <w:rFonts w:ascii="Times New Roman" w:hAnsi="Times New Roman"/>
          <w:bCs/>
          <w:sz w:val="24"/>
          <w:szCs w:val="24"/>
          <w:u w:val="none"/>
        </w:rPr>
        <w:t>4监测方法</w:t>
      </w:r>
    </w:p>
    <w:p w14:paraId="4730CF5F">
      <w:pPr>
        <w:pStyle w:val="10"/>
        <w:ind w:firstLine="480" w:firstLineChars="200"/>
        <w:rPr>
          <w:rFonts w:ascii="Times New Roman" w:hAnsi="Times New Roman"/>
          <w:sz w:val="24"/>
          <w:szCs w:val="24"/>
          <w:u w:val="none"/>
        </w:rPr>
      </w:pPr>
      <w:r>
        <w:rPr>
          <w:rFonts w:ascii="Times New Roman" w:hAnsi="Times New Roman"/>
          <w:sz w:val="24"/>
          <w:szCs w:val="24"/>
          <w:u w:val="none"/>
        </w:rPr>
        <w:t>a）《环境影响评价技术导则输变电》（HJ24-2020）；</w:t>
      </w:r>
    </w:p>
    <w:p w14:paraId="34B927CC">
      <w:pPr>
        <w:pStyle w:val="10"/>
        <w:ind w:firstLine="480" w:firstLineChars="200"/>
        <w:rPr>
          <w:rFonts w:ascii="Times New Roman" w:hAnsi="Times New Roman"/>
          <w:sz w:val="24"/>
          <w:szCs w:val="24"/>
          <w:u w:val="none"/>
        </w:rPr>
      </w:pPr>
      <w:r>
        <w:rPr>
          <w:rFonts w:ascii="Times New Roman" w:hAnsi="Times New Roman"/>
          <w:sz w:val="24"/>
          <w:szCs w:val="24"/>
          <w:u w:val="none"/>
        </w:rPr>
        <w:t>b）《交流输变电工程电磁环境监测方法（试行）》（HJ681-2013）。</w:t>
      </w:r>
    </w:p>
    <w:p w14:paraId="155C9589">
      <w:pPr>
        <w:pStyle w:val="10"/>
        <w:outlineLvl w:val="2"/>
        <w:rPr>
          <w:rFonts w:ascii="Times New Roman" w:hAnsi="Times New Roman"/>
          <w:bCs/>
          <w:sz w:val="24"/>
          <w:szCs w:val="24"/>
          <w:u w:val="none"/>
        </w:rPr>
      </w:pPr>
      <w:r>
        <w:rPr>
          <w:rFonts w:ascii="Times New Roman" w:hAnsi="Times New Roman"/>
          <w:bCs/>
          <w:sz w:val="24"/>
          <w:szCs w:val="24"/>
          <w:u w:val="none"/>
        </w:rPr>
        <w:t>2.1.5监测仪器</w:t>
      </w:r>
    </w:p>
    <w:p w14:paraId="3B3A3D82">
      <w:pPr>
        <w:ind w:left="480" w:leftChars="200"/>
        <w:rPr>
          <w:rFonts w:hint="eastAsia"/>
          <w:u w:val="none"/>
        </w:rPr>
      </w:pPr>
      <w:r>
        <w:rPr>
          <w:rFonts w:hint="eastAsia"/>
          <w:u w:val="none"/>
        </w:rPr>
        <w:t>仪器名称</w:t>
      </w:r>
      <w:r>
        <w:rPr>
          <w:rFonts w:hint="eastAsia"/>
          <w:u w:val="none"/>
          <w:lang w:eastAsia="zh-CN"/>
        </w:rPr>
        <w:t>：</w:t>
      </w:r>
      <w:r>
        <w:rPr>
          <w:rFonts w:hint="eastAsia"/>
          <w:u w:val="none"/>
        </w:rPr>
        <w:t>电磁辐射分析仪</w:t>
      </w:r>
    </w:p>
    <w:p w14:paraId="53DDF517">
      <w:pPr>
        <w:ind w:left="480" w:leftChars="200"/>
        <w:rPr>
          <w:rFonts w:hint="eastAsia"/>
          <w:u w:val="none"/>
        </w:rPr>
      </w:pPr>
      <w:r>
        <w:rPr>
          <w:rFonts w:hint="eastAsia"/>
          <w:u w:val="none"/>
        </w:rPr>
        <w:t>主机型号</w:t>
      </w:r>
      <w:r>
        <w:rPr>
          <w:rFonts w:hint="eastAsia"/>
          <w:u w:val="none"/>
          <w:lang w:eastAsia="zh-CN"/>
        </w:rPr>
        <w:t>：</w:t>
      </w:r>
      <w:r>
        <w:rPr>
          <w:rFonts w:hint="eastAsia"/>
          <w:u w:val="none"/>
        </w:rPr>
        <w:t>SEM-600</w:t>
      </w:r>
    </w:p>
    <w:p w14:paraId="053A9569">
      <w:pPr>
        <w:ind w:left="480" w:leftChars="200"/>
        <w:rPr>
          <w:rFonts w:hint="eastAsia"/>
          <w:u w:val="none"/>
        </w:rPr>
      </w:pPr>
      <w:r>
        <w:rPr>
          <w:rFonts w:hint="eastAsia"/>
          <w:u w:val="none"/>
        </w:rPr>
        <w:t>频率响应</w:t>
      </w:r>
      <w:r>
        <w:rPr>
          <w:rFonts w:hint="eastAsia"/>
          <w:u w:val="none"/>
          <w:lang w:eastAsia="zh-CN"/>
        </w:rPr>
        <w:t>：</w:t>
      </w:r>
      <w:r>
        <w:rPr>
          <w:rFonts w:hint="eastAsia"/>
          <w:u w:val="none"/>
        </w:rPr>
        <w:t>1Hz~400kHz</w:t>
      </w:r>
    </w:p>
    <w:p w14:paraId="188A5AD3">
      <w:pPr>
        <w:ind w:left="480" w:leftChars="200"/>
        <w:rPr>
          <w:rFonts w:hint="eastAsia"/>
          <w:u w:val="none"/>
        </w:rPr>
      </w:pPr>
      <w:r>
        <w:rPr>
          <w:rFonts w:hint="eastAsia"/>
          <w:u w:val="none"/>
        </w:rPr>
        <w:t>量程</w:t>
      </w:r>
      <w:r>
        <w:rPr>
          <w:rFonts w:hint="eastAsia"/>
          <w:u w:val="none"/>
          <w:lang w:eastAsia="zh-CN"/>
        </w:rPr>
        <w:t>：</w:t>
      </w:r>
      <w:r>
        <w:rPr>
          <w:rFonts w:hint="eastAsia"/>
          <w:u w:val="none"/>
        </w:rPr>
        <w:t>0.01V/m~100kV/m，1nT~10mT</w:t>
      </w:r>
    </w:p>
    <w:p w14:paraId="73D82C7C">
      <w:pPr>
        <w:ind w:left="480" w:leftChars="200"/>
        <w:rPr>
          <w:rFonts w:hint="eastAsia"/>
          <w:u w:val="none"/>
        </w:rPr>
      </w:pPr>
      <w:r>
        <w:rPr>
          <w:rFonts w:hint="eastAsia"/>
          <w:u w:val="none"/>
        </w:rPr>
        <w:t>生产厂家</w:t>
      </w:r>
      <w:r>
        <w:rPr>
          <w:rFonts w:hint="eastAsia"/>
          <w:u w:val="none"/>
          <w:lang w:eastAsia="zh-CN"/>
        </w:rPr>
        <w:t>：</w:t>
      </w:r>
      <w:r>
        <w:rPr>
          <w:rFonts w:hint="eastAsia"/>
          <w:u w:val="none"/>
        </w:rPr>
        <w:t>北京森馥科技股份有限公司</w:t>
      </w:r>
    </w:p>
    <w:p w14:paraId="4001BDCC">
      <w:pPr>
        <w:ind w:left="480" w:leftChars="200"/>
        <w:rPr>
          <w:rFonts w:hint="eastAsia"/>
          <w:u w:val="none"/>
        </w:rPr>
      </w:pPr>
      <w:r>
        <w:rPr>
          <w:rFonts w:hint="eastAsia"/>
          <w:u w:val="none"/>
        </w:rPr>
        <w:t>校准单位</w:t>
      </w:r>
      <w:r>
        <w:rPr>
          <w:rFonts w:hint="eastAsia"/>
          <w:u w:val="none"/>
          <w:lang w:eastAsia="zh-CN"/>
        </w:rPr>
        <w:t>：</w:t>
      </w:r>
      <w:r>
        <w:rPr>
          <w:rFonts w:hint="eastAsia"/>
          <w:u w:val="none"/>
        </w:rPr>
        <w:t>华南国家计量测试中心</w:t>
      </w:r>
    </w:p>
    <w:p w14:paraId="4CEC2B20">
      <w:pPr>
        <w:ind w:left="480" w:leftChars="200"/>
        <w:rPr>
          <w:rFonts w:hint="eastAsia"/>
          <w:u w:val="none"/>
        </w:rPr>
      </w:pPr>
      <w:r>
        <w:rPr>
          <w:rFonts w:hint="eastAsia"/>
          <w:u w:val="none"/>
        </w:rPr>
        <w:t>证书编号</w:t>
      </w:r>
      <w:r>
        <w:rPr>
          <w:rFonts w:hint="eastAsia"/>
          <w:u w:val="none"/>
          <w:lang w:eastAsia="zh-CN"/>
        </w:rPr>
        <w:t>：</w:t>
      </w:r>
      <w:r>
        <w:rPr>
          <w:rFonts w:hint="eastAsia"/>
          <w:u w:val="none"/>
        </w:rPr>
        <w:t>WWD202402095</w:t>
      </w:r>
    </w:p>
    <w:p w14:paraId="23EFF051">
      <w:pPr>
        <w:ind w:left="480" w:leftChars="200"/>
        <w:rPr>
          <w:rFonts w:hint="default" w:eastAsia="宋体"/>
          <w:u w:val="none"/>
          <w:lang w:val="en-US" w:eastAsia="zh-CN"/>
        </w:rPr>
      </w:pPr>
      <w:r>
        <w:rPr>
          <w:rFonts w:hint="eastAsia"/>
          <w:u w:val="none"/>
        </w:rPr>
        <w:t>校准日期</w:t>
      </w:r>
      <w:r>
        <w:rPr>
          <w:rFonts w:hint="eastAsia"/>
          <w:u w:val="none"/>
          <w:lang w:eastAsia="zh-CN"/>
        </w:rPr>
        <w:t>：</w:t>
      </w:r>
      <w:r>
        <w:rPr>
          <w:rFonts w:hint="eastAsia"/>
          <w:u w:val="none"/>
        </w:rPr>
        <w:t>2024年6月25日</w:t>
      </w:r>
      <w:r>
        <w:rPr>
          <w:rFonts w:hint="eastAsia"/>
          <w:u w:val="none"/>
          <w:lang w:val="en-US" w:eastAsia="zh-CN"/>
        </w:rPr>
        <w:t>-2025年6月24日</w:t>
      </w:r>
    </w:p>
    <w:p w14:paraId="39634A50">
      <w:pPr>
        <w:pStyle w:val="10"/>
        <w:outlineLvl w:val="2"/>
        <w:rPr>
          <w:rFonts w:ascii="Times New Roman" w:hAnsi="Times New Roman"/>
          <w:bCs/>
          <w:sz w:val="24"/>
          <w:szCs w:val="24"/>
          <w:u w:val="none"/>
        </w:rPr>
      </w:pPr>
      <w:r>
        <w:rPr>
          <w:rFonts w:ascii="Times New Roman" w:hAnsi="Times New Roman"/>
          <w:bCs/>
          <w:sz w:val="24"/>
          <w:szCs w:val="24"/>
          <w:u w:val="none"/>
        </w:rPr>
        <w:t>2.1.6监测结果</w:t>
      </w:r>
    </w:p>
    <w:p w14:paraId="3557178B">
      <w:pPr>
        <w:adjustRightInd w:val="0"/>
        <w:snapToGrid w:val="0"/>
        <w:ind w:firstLine="480" w:firstLineChars="200"/>
        <w:rPr>
          <w:u w:val="none"/>
        </w:rPr>
      </w:pPr>
      <w:r>
        <w:rPr>
          <w:u w:val="none"/>
        </w:rPr>
        <w:t>工频电场、工频磁场现状监测结果详见表2.1-</w:t>
      </w:r>
      <w:r>
        <w:rPr>
          <w:rFonts w:hint="eastAsia"/>
          <w:u w:val="none"/>
          <w:lang w:val="en-US" w:eastAsia="zh-CN"/>
        </w:rPr>
        <w:t>4</w:t>
      </w:r>
      <w:r>
        <w:rPr>
          <w:u w:val="none"/>
        </w:rPr>
        <w:t>。</w:t>
      </w:r>
    </w:p>
    <w:p w14:paraId="3203CBBB">
      <w:pPr>
        <w:pStyle w:val="30"/>
        <w:spacing w:before="97" w:after="163"/>
        <w:rPr>
          <w:sz w:val="24"/>
          <w:u w:val="none"/>
        </w:rPr>
      </w:pPr>
      <w:r>
        <w:rPr>
          <w:sz w:val="24"/>
          <w:u w:val="none"/>
        </w:rPr>
        <w:t>表2.1-</w:t>
      </w:r>
      <w:r>
        <w:rPr>
          <w:rFonts w:hint="eastAsia"/>
          <w:sz w:val="24"/>
          <w:u w:val="none"/>
          <w:lang w:val="en-US" w:eastAsia="zh-CN"/>
        </w:rPr>
        <w:t>4</w:t>
      </w:r>
      <w:r>
        <w:rPr>
          <w:sz w:val="24"/>
          <w:u w:val="none"/>
        </w:rPr>
        <w:t>工频电场、工频磁场现状监测结果</w:t>
      </w:r>
    </w:p>
    <w:tbl>
      <w:tblPr>
        <w:tblStyle w:val="19"/>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3381"/>
        <w:gridCol w:w="1909"/>
        <w:gridCol w:w="1686"/>
        <w:gridCol w:w="1768"/>
      </w:tblGrid>
      <w:tr w14:paraId="3ABD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30" w:type="pct"/>
            <w:tcMar>
              <w:left w:w="28" w:type="dxa"/>
              <w:right w:w="28" w:type="dxa"/>
            </w:tcMar>
            <w:vAlign w:val="center"/>
          </w:tcPr>
          <w:p w14:paraId="1728560E">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监测点位</w:t>
            </w:r>
          </w:p>
        </w:tc>
        <w:tc>
          <w:tcPr>
            <w:tcW w:w="1805" w:type="pct"/>
            <w:tcMar>
              <w:left w:w="28" w:type="dxa"/>
              <w:right w:w="28" w:type="dxa"/>
            </w:tcMar>
            <w:vAlign w:val="center"/>
          </w:tcPr>
          <w:p w14:paraId="6452384F">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名称</w:t>
            </w:r>
          </w:p>
        </w:tc>
        <w:tc>
          <w:tcPr>
            <w:tcW w:w="1019" w:type="pct"/>
            <w:tcMar>
              <w:left w:w="28" w:type="dxa"/>
              <w:right w:w="28" w:type="dxa"/>
            </w:tcMar>
            <w:vAlign w:val="center"/>
          </w:tcPr>
          <w:p w14:paraId="0141781F">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相对位置</w:t>
            </w:r>
          </w:p>
        </w:tc>
        <w:tc>
          <w:tcPr>
            <w:tcW w:w="900" w:type="pct"/>
            <w:vAlign w:val="center"/>
          </w:tcPr>
          <w:p w14:paraId="281104D6">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工频电场强度</w:t>
            </w:r>
          </w:p>
          <w:p w14:paraId="25A4E4EC">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（V/m）</w:t>
            </w:r>
          </w:p>
        </w:tc>
        <w:tc>
          <w:tcPr>
            <w:tcW w:w="944" w:type="pct"/>
            <w:vAlign w:val="center"/>
          </w:tcPr>
          <w:p w14:paraId="5AB93D75">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工频磁感应强度</w:t>
            </w:r>
          </w:p>
          <w:p w14:paraId="790DCC74">
            <w:pPr>
              <w:pStyle w:val="30"/>
              <w:spacing w:before="97" w:after="163"/>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（μT）</w:t>
            </w:r>
          </w:p>
        </w:tc>
      </w:tr>
      <w:tr w14:paraId="671E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3874EFAC">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bidi="ar"/>
              </w:rPr>
              <w:t>1</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restart"/>
            <w:tcMar>
              <w:left w:w="28" w:type="dxa"/>
              <w:right w:w="28" w:type="dxa"/>
            </w:tcMar>
            <w:vAlign w:val="center"/>
          </w:tcPr>
          <w:p w14:paraId="10BCF699">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果山变电站厂界</w:t>
            </w:r>
          </w:p>
        </w:tc>
        <w:tc>
          <w:tcPr>
            <w:tcW w:w="1019" w:type="pct"/>
            <w:tcMar>
              <w:left w:w="28" w:type="dxa"/>
              <w:right w:w="28" w:type="dxa"/>
            </w:tcMar>
            <w:vAlign w:val="center"/>
          </w:tcPr>
          <w:p w14:paraId="2407099F">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变电站西侧</w:t>
            </w:r>
          </w:p>
        </w:tc>
        <w:tc>
          <w:tcPr>
            <w:tcW w:w="900" w:type="pct"/>
            <w:tcBorders>
              <w:top w:val="nil"/>
            </w:tcBorders>
            <w:vAlign w:val="center"/>
          </w:tcPr>
          <w:p w14:paraId="178B5097">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3.1</w:t>
            </w:r>
          </w:p>
        </w:tc>
        <w:tc>
          <w:tcPr>
            <w:tcW w:w="944" w:type="pct"/>
            <w:tcBorders>
              <w:top w:val="nil"/>
              <w:left w:val="nil"/>
            </w:tcBorders>
            <w:vAlign w:val="center"/>
          </w:tcPr>
          <w:p w14:paraId="222E789E">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r w14:paraId="41E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296DD99C">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bidi="ar"/>
              </w:rPr>
              <w:t>2</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45CAF3FD">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0FBAB469">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变电站北侧</w:t>
            </w:r>
          </w:p>
        </w:tc>
        <w:tc>
          <w:tcPr>
            <w:tcW w:w="900" w:type="pct"/>
            <w:tcBorders>
              <w:top w:val="nil"/>
            </w:tcBorders>
            <w:vAlign w:val="center"/>
          </w:tcPr>
          <w:p w14:paraId="745CE557">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50.1</w:t>
            </w:r>
          </w:p>
        </w:tc>
        <w:tc>
          <w:tcPr>
            <w:tcW w:w="944" w:type="pct"/>
            <w:tcBorders>
              <w:top w:val="nil"/>
              <w:left w:val="nil"/>
            </w:tcBorders>
            <w:vAlign w:val="center"/>
          </w:tcPr>
          <w:p w14:paraId="4DC7C418">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0.13</w:t>
            </w:r>
          </w:p>
        </w:tc>
      </w:tr>
      <w:tr w14:paraId="7CDF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0" w:type="pct"/>
            <w:tcMar>
              <w:left w:w="28" w:type="dxa"/>
              <w:right w:w="28" w:type="dxa"/>
            </w:tcMar>
            <w:vAlign w:val="center"/>
          </w:tcPr>
          <w:p w14:paraId="65F605CF">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3</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3B380980">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458E80B9">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变电站东南侧</w:t>
            </w:r>
          </w:p>
        </w:tc>
        <w:tc>
          <w:tcPr>
            <w:tcW w:w="900" w:type="pct"/>
            <w:tcBorders>
              <w:top w:val="nil"/>
            </w:tcBorders>
            <w:vAlign w:val="center"/>
          </w:tcPr>
          <w:p w14:paraId="6EA8F830">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129.5</w:t>
            </w:r>
          </w:p>
        </w:tc>
        <w:tc>
          <w:tcPr>
            <w:tcW w:w="944" w:type="pct"/>
            <w:tcBorders>
              <w:top w:val="nil"/>
              <w:left w:val="nil"/>
            </w:tcBorders>
            <w:vAlign w:val="center"/>
          </w:tcPr>
          <w:p w14:paraId="0A183418">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0.35</w:t>
            </w:r>
          </w:p>
        </w:tc>
      </w:tr>
      <w:tr w14:paraId="35C5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70D8CAD2">
            <w:pPr>
              <w:widowControl/>
              <w:jc w:val="center"/>
              <w:textAlignment w:val="center"/>
              <w:rPr>
                <w:rFonts w:hint="default" w:ascii="Times New Roman" w:hAnsi="Times New Roman" w:eastAsia="宋体" w:cs="Times New Roman"/>
                <w:color w:val="000000"/>
                <w:kern w:val="0"/>
                <w:sz w:val="21"/>
                <w:szCs w:val="21"/>
                <w:highlight w:val="none"/>
                <w:u w:val="none"/>
                <w:lang w:bidi="ar"/>
              </w:rPr>
            </w:pPr>
            <w:r>
              <w:rPr>
                <w:rFonts w:hint="default" w:ascii="Times New Roman" w:hAnsi="Times New Roman" w:eastAsia="宋体" w:cs="Times New Roman"/>
                <w:color w:val="000000"/>
                <w:kern w:val="0"/>
                <w:sz w:val="21"/>
                <w:szCs w:val="21"/>
                <w:highlight w:val="none"/>
                <w:u w:val="none"/>
                <w:lang w:bidi="ar"/>
              </w:rPr>
              <w:t>4</w:t>
            </w:r>
            <w:r>
              <w:rPr>
                <w:rFonts w:hint="default" w:ascii="Times New Roman" w:hAnsi="Times New Roman" w:eastAsia="宋体" w:cs="Times New Roman"/>
                <w:color w:val="000000"/>
                <w:kern w:val="0"/>
                <w:sz w:val="21"/>
                <w:szCs w:val="21"/>
                <w:highlight w:val="none"/>
                <w:u w:val="none"/>
                <w:lang w:eastAsia="zh-CN" w:bidi="ar"/>
              </w:rPr>
              <w:t>#</w:t>
            </w:r>
          </w:p>
        </w:tc>
        <w:tc>
          <w:tcPr>
            <w:tcW w:w="1805" w:type="pct"/>
            <w:vMerge w:val="continue"/>
            <w:tcMar>
              <w:left w:w="28" w:type="dxa"/>
              <w:right w:w="28" w:type="dxa"/>
            </w:tcMar>
            <w:vAlign w:val="center"/>
          </w:tcPr>
          <w:p w14:paraId="43B47574">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631F0A2E">
            <w:pPr>
              <w:widowControl/>
              <w:spacing w:line="240" w:lineRule="auto"/>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变电站南侧（沙场门口）</w:t>
            </w:r>
          </w:p>
        </w:tc>
        <w:tc>
          <w:tcPr>
            <w:tcW w:w="900" w:type="pct"/>
            <w:tcBorders>
              <w:top w:val="nil"/>
            </w:tcBorders>
            <w:vAlign w:val="center"/>
          </w:tcPr>
          <w:p w14:paraId="7859CF97">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35.8</w:t>
            </w:r>
          </w:p>
        </w:tc>
        <w:tc>
          <w:tcPr>
            <w:tcW w:w="944" w:type="pct"/>
            <w:tcBorders>
              <w:top w:val="nil"/>
              <w:left w:val="nil"/>
            </w:tcBorders>
            <w:vAlign w:val="center"/>
          </w:tcPr>
          <w:p w14:paraId="434540E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0.16</w:t>
            </w:r>
          </w:p>
        </w:tc>
      </w:tr>
      <w:tr w14:paraId="5CEB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1B5E4ED3">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5#</w:t>
            </w:r>
          </w:p>
        </w:tc>
        <w:tc>
          <w:tcPr>
            <w:tcW w:w="1805" w:type="pct"/>
            <w:vMerge w:val="continue"/>
            <w:tcMar>
              <w:left w:w="28" w:type="dxa"/>
              <w:right w:w="28" w:type="dxa"/>
            </w:tcMar>
            <w:vAlign w:val="center"/>
          </w:tcPr>
          <w:p w14:paraId="1E616856">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p>
        </w:tc>
        <w:tc>
          <w:tcPr>
            <w:tcW w:w="1019" w:type="pct"/>
            <w:tcMar>
              <w:left w:w="28" w:type="dxa"/>
              <w:right w:w="28" w:type="dxa"/>
            </w:tcMar>
            <w:vAlign w:val="center"/>
          </w:tcPr>
          <w:p w14:paraId="044FA40E">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val="en-US" w:eastAsia="zh-CN" w:bidi="ar"/>
              </w:rPr>
              <w:t>变电站西南侧</w:t>
            </w:r>
          </w:p>
        </w:tc>
        <w:tc>
          <w:tcPr>
            <w:tcW w:w="900" w:type="pct"/>
            <w:tcBorders>
              <w:top w:val="nil"/>
            </w:tcBorders>
            <w:vAlign w:val="center"/>
          </w:tcPr>
          <w:p w14:paraId="749947B1">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1.3</w:t>
            </w:r>
          </w:p>
        </w:tc>
        <w:tc>
          <w:tcPr>
            <w:tcW w:w="944" w:type="pct"/>
            <w:tcBorders>
              <w:top w:val="nil"/>
              <w:left w:val="nil"/>
            </w:tcBorders>
            <w:vAlign w:val="center"/>
          </w:tcPr>
          <w:p w14:paraId="611027E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r w14:paraId="3F4E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 w:type="pct"/>
            <w:tcMar>
              <w:left w:w="28" w:type="dxa"/>
              <w:right w:w="28" w:type="dxa"/>
            </w:tcMar>
            <w:vAlign w:val="center"/>
          </w:tcPr>
          <w:p w14:paraId="4F4C2025">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6#</w:t>
            </w:r>
          </w:p>
        </w:tc>
        <w:tc>
          <w:tcPr>
            <w:tcW w:w="1805" w:type="pct"/>
            <w:tcMar>
              <w:left w:w="28" w:type="dxa"/>
              <w:right w:w="28" w:type="dxa"/>
            </w:tcMar>
            <w:vAlign w:val="center"/>
          </w:tcPr>
          <w:p w14:paraId="46074E4A">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eastAsia" w:ascii="Times New Roman" w:hAnsi="Times New Roman" w:eastAsia="宋体" w:cs="Times New Roman"/>
                <w:color w:val="000000"/>
                <w:kern w:val="0"/>
                <w:sz w:val="21"/>
                <w:szCs w:val="21"/>
                <w:highlight w:val="none"/>
                <w:u w:val="none"/>
                <w:lang w:val="en-US" w:eastAsia="zh-CN" w:bidi="ar"/>
              </w:rPr>
              <w:t>柳州市骏铭印刷厂</w:t>
            </w:r>
          </w:p>
        </w:tc>
        <w:tc>
          <w:tcPr>
            <w:tcW w:w="1019" w:type="pct"/>
            <w:tcMar>
              <w:left w:w="28" w:type="dxa"/>
              <w:right w:w="28" w:type="dxa"/>
            </w:tcMar>
            <w:vAlign w:val="center"/>
          </w:tcPr>
          <w:p w14:paraId="719EF701">
            <w:pPr>
              <w:widowControl/>
              <w:jc w:val="center"/>
              <w:textAlignment w:val="center"/>
              <w:rPr>
                <w:rFonts w:hint="default" w:ascii="Times New Roman" w:hAnsi="Times New Roman" w:eastAsia="宋体" w:cs="Times New Roman"/>
                <w:color w:val="000000"/>
                <w:kern w:val="0"/>
                <w:sz w:val="21"/>
                <w:szCs w:val="21"/>
                <w:highlight w:val="none"/>
                <w:u w:val="none"/>
                <w:lang w:eastAsia="zh-CN" w:bidi="ar"/>
              </w:rPr>
            </w:pPr>
            <w:r>
              <w:rPr>
                <w:rFonts w:hint="default" w:ascii="Times New Roman" w:hAnsi="Times New Roman" w:eastAsia="宋体" w:cs="Times New Roman"/>
                <w:color w:val="000000"/>
                <w:kern w:val="0"/>
                <w:sz w:val="21"/>
                <w:szCs w:val="21"/>
                <w:highlight w:val="none"/>
                <w:u w:val="none"/>
                <w:lang w:eastAsia="zh-CN" w:bidi="ar"/>
              </w:rPr>
              <w:t>厂界</w:t>
            </w:r>
            <w:r>
              <w:rPr>
                <w:rFonts w:hint="eastAsia" w:cs="Times New Roman"/>
                <w:color w:val="000000"/>
                <w:kern w:val="0"/>
                <w:sz w:val="21"/>
                <w:szCs w:val="21"/>
                <w:highlight w:val="none"/>
                <w:u w:val="none"/>
                <w:lang w:val="en-US" w:eastAsia="zh-CN" w:bidi="ar"/>
              </w:rPr>
              <w:t>西</w:t>
            </w:r>
            <w:r>
              <w:rPr>
                <w:rFonts w:hint="default" w:ascii="Times New Roman" w:hAnsi="Times New Roman" w:eastAsia="宋体" w:cs="Times New Roman"/>
                <w:color w:val="000000"/>
                <w:kern w:val="0"/>
                <w:sz w:val="21"/>
                <w:szCs w:val="21"/>
                <w:highlight w:val="none"/>
                <w:u w:val="none"/>
                <w:lang w:bidi="ar"/>
              </w:rPr>
              <w:t>侧</w:t>
            </w:r>
            <w:r>
              <w:rPr>
                <w:rFonts w:hint="eastAsia" w:cs="Times New Roman"/>
                <w:color w:val="000000"/>
                <w:kern w:val="0"/>
                <w:sz w:val="21"/>
                <w:szCs w:val="21"/>
                <w:highlight w:val="none"/>
                <w:u w:val="none"/>
                <w:lang w:val="en-US" w:eastAsia="zh-CN" w:bidi="ar"/>
              </w:rPr>
              <w:t>13</w:t>
            </w:r>
            <w:r>
              <w:rPr>
                <w:rFonts w:hint="default" w:ascii="Times New Roman" w:hAnsi="Times New Roman" w:eastAsia="宋体" w:cs="Times New Roman"/>
                <w:color w:val="000000"/>
                <w:kern w:val="0"/>
                <w:sz w:val="21"/>
                <w:szCs w:val="21"/>
                <w:highlight w:val="none"/>
                <w:u w:val="none"/>
                <w:lang w:bidi="ar"/>
              </w:rPr>
              <w:t>m</w:t>
            </w:r>
          </w:p>
        </w:tc>
        <w:tc>
          <w:tcPr>
            <w:tcW w:w="1671" w:type="dxa"/>
            <w:vAlign w:val="center"/>
          </w:tcPr>
          <w:p w14:paraId="02EE97D0">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1.8</w:t>
            </w:r>
          </w:p>
        </w:tc>
        <w:tc>
          <w:tcPr>
            <w:tcW w:w="1753" w:type="dxa"/>
            <w:vAlign w:val="center"/>
          </w:tcPr>
          <w:p w14:paraId="3F408558">
            <w:pPr>
              <w:widowControl/>
              <w:jc w:val="center"/>
              <w:textAlignment w:val="center"/>
              <w:rPr>
                <w:rFonts w:hint="default" w:ascii="Times New Roman" w:hAnsi="Times New Roman" w:eastAsia="宋体" w:cs="Times New Roman"/>
                <w:color w:val="000000"/>
                <w:kern w:val="0"/>
                <w:sz w:val="21"/>
                <w:szCs w:val="21"/>
                <w:highlight w:val="none"/>
                <w:u w:val="none"/>
                <w:lang w:val="en-US" w:eastAsia="zh-CN" w:bidi="ar"/>
              </w:rPr>
            </w:pPr>
            <w:r>
              <w:rPr>
                <w:rFonts w:hint="default" w:ascii="Times New Roman" w:hAnsi="Times New Roman" w:eastAsia="宋体" w:cs="Times New Roman"/>
                <w:color w:val="000000"/>
                <w:kern w:val="0"/>
                <w:sz w:val="21"/>
                <w:szCs w:val="21"/>
                <w:highlight w:val="none"/>
                <w:u w:val="none"/>
                <w:lang w:val="en-US" w:eastAsia="zh-CN" w:bidi="ar"/>
              </w:rPr>
              <w:t>0.09</w:t>
            </w:r>
          </w:p>
        </w:tc>
      </w:tr>
    </w:tbl>
    <w:p w14:paraId="37462CF4">
      <w:pPr>
        <w:adjustRightInd w:val="0"/>
        <w:snapToGrid w:val="0"/>
        <w:ind w:firstLine="420" w:firstLineChars="200"/>
        <w:rPr>
          <w:rFonts w:hint="default" w:eastAsia="宋体"/>
          <w:sz w:val="21"/>
          <w:szCs w:val="21"/>
          <w:u w:val="none"/>
          <w:lang w:val="en-US" w:eastAsia="zh-CN"/>
        </w:rPr>
      </w:pPr>
      <w:r>
        <w:rPr>
          <w:rFonts w:hint="eastAsia"/>
          <w:sz w:val="21"/>
          <w:szCs w:val="21"/>
          <w:u w:val="none"/>
          <w:lang w:val="en-US" w:eastAsia="zh-CN"/>
        </w:rPr>
        <w:t>注：220kV果山变电站东侧出线密集，不满足《交流输变电工程电磁环境监测方法(试行)》HJ 681监测点应选择在无进出线或远离进出线(距离边导线地面投影不少于 20m)的围墙外且距离围墙5m 处布置要求，不具备监测条件，结合现场实际分别在东南侧、西南侧布设监测点位。</w:t>
      </w:r>
    </w:p>
    <w:p w14:paraId="764BDBF8">
      <w:pPr>
        <w:pStyle w:val="10"/>
        <w:outlineLvl w:val="2"/>
        <w:rPr>
          <w:rFonts w:ascii="Times New Roman" w:hAnsi="Times New Roman"/>
          <w:bCs/>
          <w:sz w:val="24"/>
          <w:szCs w:val="24"/>
          <w:u w:val="none"/>
        </w:rPr>
      </w:pPr>
      <w:r>
        <w:rPr>
          <w:rFonts w:ascii="Times New Roman" w:hAnsi="Times New Roman"/>
          <w:bCs/>
          <w:sz w:val="24"/>
          <w:szCs w:val="24"/>
          <w:u w:val="none"/>
        </w:rPr>
        <w:t>2.1.7评价及结论</w:t>
      </w:r>
    </w:p>
    <w:p w14:paraId="2E8E2692">
      <w:pPr>
        <w:pStyle w:val="10"/>
        <w:ind w:firstLine="480" w:firstLineChars="200"/>
        <w:rPr>
          <w:rFonts w:ascii="Times New Roman" w:hAnsi="Times New Roman"/>
          <w:sz w:val="24"/>
          <w:szCs w:val="24"/>
          <w:u w:val="none"/>
        </w:rPr>
      </w:pPr>
      <w:bookmarkStart w:id="181" w:name="_Toc24964"/>
      <w:r>
        <w:rPr>
          <w:rFonts w:ascii="Times New Roman" w:hAnsi="Times New Roman"/>
          <w:sz w:val="24"/>
          <w:szCs w:val="24"/>
          <w:u w:val="none"/>
        </w:rPr>
        <w:t>从表2.1-</w:t>
      </w:r>
      <w:r>
        <w:rPr>
          <w:rFonts w:hint="eastAsia" w:ascii="Times New Roman" w:hAnsi="Times New Roman"/>
          <w:sz w:val="24"/>
          <w:szCs w:val="24"/>
          <w:u w:val="none"/>
        </w:rPr>
        <w:t>3</w:t>
      </w:r>
      <w:r>
        <w:rPr>
          <w:rFonts w:ascii="Times New Roman" w:hAnsi="Times New Roman"/>
          <w:sz w:val="24"/>
          <w:szCs w:val="24"/>
          <w:u w:val="none"/>
        </w:rPr>
        <w:t>可以看出，根据现状监测结果可知，</w:t>
      </w:r>
      <w:r>
        <w:rPr>
          <w:rFonts w:hint="eastAsia" w:ascii="Times New Roman" w:hAnsi="Times New Roman"/>
          <w:bCs/>
          <w:sz w:val="24"/>
          <w:szCs w:val="24"/>
          <w:u w:val="none"/>
        </w:rPr>
        <w:t>220kV</w:t>
      </w:r>
      <w:r>
        <w:rPr>
          <w:rFonts w:hint="eastAsia" w:ascii="Times New Roman" w:hAnsi="Times New Roman"/>
          <w:bCs/>
          <w:sz w:val="24"/>
          <w:szCs w:val="24"/>
          <w:u w:val="none"/>
          <w:lang w:val="en-US" w:eastAsia="zh-CN"/>
        </w:rPr>
        <w:t>果山</w:t>
      </w:r>
      <w:r>
        <w:rPr>
          <w:rFonts w:ascii="Times New Roman" w:hAnsi="Times New Roman"/>
          <w:bCs/>
          <w:sz w:val="24"/>
          <w:szCs w:val="24"/>
          <w:u w:val="none"/>
        </w:rPr>
        <w:t>变电站</w:t>
      </w:r>
      <w:r>
        <w:rPr>
          <w:rFonts w:hint="eastAsia" w:ascii="Times New Roman" w:hAnsi="Times New Roman"/>
          <w:bCs/>
          <w:sz w:val="24"/>
          <w:szCs w:val="24"/>
          <w:u w:val="none"/>
        </w:rPr>
        <w:t>厂界</w:t>
      </w:r>
      <w:r>
        <w:rPr>
          <w:rFonts w:ascii="Times New Roman" w:hAnsi="Times New Roman"/>
          <w:bCs/>
          <w:sz w:val="24"/>
          <w:szCs w:val="24"/>
          <w:u w:val="none"/>
        </w:rPr>
        <w:t>工频电场强度为</w:t>
      </w:r>
      <w:r>
        <w:rPr>
          <w:rFonts w:hint="eastAsia" w:ascii="Times New Roman" w:hAnsi="Times New Roman"/>
          <w:bCs/>
          <w:sz w:val="24"/>
          <w:szCs w:val="24"/>
          <w:u w:val="none"/>
          <w:lang w:val="en-US" w:eastAsia="zh-CN"/>
        </w:rPr>
        <w:t>1.3</w:t>
      </w:r>
      <w:r>
        <w:rPr>
          <w:rFonts w:ascii="Times New Roman" w:hAnsi="Times New Roman"/>
          <w:bCs/>
          <w:sz w:val="24"/>
          <w:szCs w:val="24"/>
          <w:u w:val="none"/>
        </w:rPr>
        <w:t>～</w:t>
      </w:r>
      <w:r>
        <w:rPr>
          <w:rFonts w:hint="eastAsia" w:ascii="Times New Roman" w:hAnsi="Times New Roman"/>
          <w:bCs/>
          <w:sz w:val="24"/>
          <w:szCs w:val="24"/>
          <w:u w:val="none"/>
          <w:lang w:val="en-US" w:eastAsia="zh-CN"/>
        </w:rPr>
        <w:t>129.5</w:t>
      </w:r>
      <w:r>
        <w:rPr>
          <w:rFonts w:ascii="Times New Roman" w:hAnsi="Times New Roman"/>
          <w:bCs/>
          <w:sz w:val="24"/>
          <w:szCs w:val="24"/>
          <w:u w:val="none"/>
        </w:rPr>
        <w:t>V/m，</w:t>
      </w:r>
      <w:r>
        <w:rPr>
          <w:rFonts w:hint="eastAsia" w:ascii="Times New Roman" w:hAnsi="Times New Roman"/>
          <w:bCs/>
          <w:sz w:val="24"/>
          <w:szCs w:val="24"/>
          <w:u w:val="none"/>
        </w:rPr>
        <w:t>工频</w:t>
      </w:r>
      <w:r>
        <w:rPr>
          <w:rFonts w:ascii="Times New Roman" w:hAnsi="Times New Roman"/>
          <w:bCs/>
          <w:sz w:val="24"/>
          <w:szCs w:val="24"/>
          <w:u w:val="none"/>
        </w:rPr>
        <w:t>磁感应强度为</w:t>
      </w:r>
      <w:r>
        <w:rPr>
          <w:rFonts w:hint="eastAsia" w:ascii="Times New Roman" w:hAnsi="Times New Roman"/>
          <w:bCs/>
          <w:sz w:val="24"/>
          <w:szCs w:val="24"/>
          <w:u w:val="none"/>
          <w:lang w:val="en-US" w:eastAsia="zh-CN"/>
        </w:rPr>
        <w:t>0.09</w:t>
      </w:r>
      <w:r>
        <w:rPr>
          <w:rFonts w:ascii="Times New Roman" w:hAnsi="Times New Roman"/>
          <w:bCs/>
          <w:sz w:val="24"/>
          <w:szCs w:val="24"/>
          <w:u w:val="none"/>
        </w:rPr>
        <w:t>～</w:t>
      </w:r>
      <w:r>
        <w:rPr>
          <w:rFonts w:hint="eastAsia" w:ascii="Times New Roman" w:hAnsi="Times New Roman"/>
          <w:bCs/>
          <w:sz w:val="24"/>
          <w:szCs w:val="24"/>
          <w:u w:val="none"/>
          <w:lang w:val="en-US" w:eastAsia="zh-CN"/>
        </w:rPr>
        <w:t>0.35</w:t>
      </w:r>
      <w:r>
        <w:rPr>
          <w:rFonts w:ascii="Times New Roman" w:hAnsi="Times New Roman"/>
          <w:bCs/>
          <w:sz w:val="24"/>
          <w:szCs w:val="24"/>
          <w:u w:val="none"/>
        </w:rPr>
        <w:t>μT。</w:t>
      </w:r>
      <w:r>
        <w:rPr>
          <w:rFonts w:hint="eastAsia" w:ascii="Times New Roman" w:hAnsi="Times New Roman"/>
          <w:bCs/>
          <w:sz w:val="24"/>
          <w:szCs w:val="24"/>
          <w:u w:val="none"/>
          <w:lang w:val="en-US" w:eastAsia="zh-CN"/>
        </w:rPr>
        <w:t>电磁</w:t>
      </w:r>
      <w:r>
        <w:rPr>
          <w:rFonts w:ascii="Times New Roman" w:hAnsi="Times New Roman"/>
          <w:sz w:val="24"/>
          <w:szCs w:val="24"/>
          <w:u w:val="none"/>
        </w:rPr>
        <w:t>环境敏感目标</w:t>
      </w:r>
      <w:r>
        <w:rPr>
          <w:rFonts w:ascii="Times New Roman" w:hAnsi="Times New Roman"/>
          <w:bCs/>
          <w:sz w:val="24"/>
          <w:szCs w:val="24"/>
          <w:u w:val="none"/>
        </w:rPr>
        <w:t>工频电场强度为</w:t>
      </w:r>
      <w:r>
        <w:rPr>
          <w:rFonts w:hint="eastAsia" w:ascii="Times New Roman" w:hAnsi="Times New Roman"/>
          <w:bCs/>
          <w:sz w:val="24"/>
          <w:szCs w:val="24"/>
          <w:u w:val="none"/>
          <w:lang w:val="en-US" w:eastAsia="zh-CN"/>
        </w:rPr>
        <w:t>1.8</w:t>
      </w:r>
      <w:r>
        <w:rPr>
          <w:rFonts w:ascii="Times New Roman" w:hAnsi="Times New Roman"/>
          <w:bCs/>
          <w:sz w:val="24"/>
          <w:szCs w:val="24"/>
          <w:u w:val="none"/>
        </w:rPr>
        <w:t>V/m，工频磁感应强度为0.</w:t>
      </w:r>
      <w:r>
        <w:rPr>
          <w:rFonts w:hint="eastAsia" w:ascii="Times New Roman" w:hAnsi="Times New Roman"/>
          <w:bCs/>
          <w:sz w:val="24"/>
          <w:szCs w:val="24"/>
          <w:u w:val="none"/>
          <w:lang w:val="en-US" w:eastAsia="zh-CN"/>
        </w:rPr>
        <w:t>09</w:t>
      </w:r>
      <w:r>
        <w:rPr>
          <w:rFonts w:ascii="Times New Roman" w:hAnsi="Times New Roman"/>
          <w:bCs/>
          <w:sz w:val="24"/>
          <w:szCs w:val="24"/>
          <w:u w:val="none"/>
        </w:rPr>
        <w:t>μT。满足《电磁环境控制限值》（GB8702-2014）要求。</w:t>
      </w:r>
    </w:p>
    <w:p w14:paraId="269BDE89">
      <w:pPr>
        <w:pStyle w:val="10"/>
        <w:jc w:val="left"/>
        <w:outlineLvl w:val="1"/>
        <w:rPr>
          <w:rFonts w:ascii="Times New Roman" w:hAnsi="Times New Roman"/>
          <w:b/>
          <w:sz w:val="24"/>
          <w:szCs w:val="24"/>
          <w:u w:val="none"/>
        </w:rPr>
      </w:pPr>
      <w:bookmarkStart w:id="182" w:name="_Toc18992"/>
      <w:bookmarkStart w:id="183" w:name="_Toc30102"/>
      <w:bookmarkStart w:id="184" w:name="_Toc22898"/>
      <w:bookmarkStart w:id="185" w:name="_Toc4049"/>
      <w:bookmarkStart w:id="186" w:name="_Toc9301"/>
      <w:bookmarkStart w:id="187" w:name="_Toc5463"/>
      <w:bookmarkStart w:id="188" w:name="_Toc16148"/>
      <w:bookmarkStart w:id="189" w:name="_Toc21266"/>
      <w:r>
        <w:rPr>
          <w:rFonts w:ascii="Times New Roman" w:hAnsi="Times New Roman"/>
          <w:b/>
          <w:sz w:val="24"/>
          <w:szCs w:val="24"/>
          <w:u w:val="none"/>
        </w:rPr>
        <w:t>2.2电磁环境影响预测与评价</w:t>
      </w:r>
      <w:bookmarkEnd w:id="181"/>
      <w:bookmarkEnd w:id="182"/>
      <w:bookmarkEnd w:id="183"/>
      <w:bookmarkEnd w:id="184"/>
      <w:bookmarkEnd w:id="185"/>
      <w:bookmarkEnd w:id="186"/>
      <w:bookmarkEnd w:id="187"/>
      <w:bookmarkEnd w:id="188"/>
      <w:bookmarkEnd w:id="189"/>
      <w:bookmarkStart w:id="190" w:name="_Toc17877499"/>
      <w:bookmarkStart w:id="191" w:name="_Toc38803789"/>
      <w:bookmarkStart w:id="192" w:name="_Toc17877833"/>
    </w:p>
    <w:p w14:paraId="3D1CE781">
      <w:pPr>
        <w:pStyle w:val="10"/>
        <w:rPr>
          <w:rFonts w:ascii="Times New Roman" w:hAnsi="Times New Roman"/>
          <w:bCs/>
          <w:sz w:val="24"/>
          <w:szCs w:val="24"/>
          <w:u w:val="none"/>
        </w:rPr>
      </w:pPr>
      <w:r>
        <w:rPr>
          <w:rFonts w:ascii="Times New Roman" w:hAnsi="Times New Roman"/>
          <w:bCs/>
          <w:sz w:val="24"/>
          <w:szCs w:val="24"/>
          <w:u w:val="none"/>
        </w:rPr>
        <w:t>2.2.1变电站电磁环境影响分析及评价</w:t>
      </w:r>
    </w:p>
    <w:p w14:paraId="50D0FEDC">
      <w:pPr>
        <w:pStyle w:val="10"/>
        <w:ind w:firstLine="480" w:firstLineChars="200"/>
        <w:rPr>
          <w:rFonts w:ascii="Times New Roman" w:hAnsi="Times New Roman"/>
          <w:sz w:val="24"/>
          <w:szCs w:val="24"/>
          <w:u w:val="none"/>
        </w:rPr>
      </w:pPr>
      <w:r>
        <w:rPr>
          <w:rFonts w:hint="eastAsia" w:ascii="Times New Roman" w:hAnsi="Times New Roman"/>
          <w:sz w:val="24"/>
          <w:szCs w:val="24"/>
          <w:u w:val="none"/>
        </w:rPr>
        <w:t>根据《环境影响评价技术导则输变电工程》（HJ24-2020）要求，</w:t>
      </w:r>
      <w:r>
        <w:rPr>
          <w:rFonts w:ascii="Times New Roman" w:hAnsi="Times New Roman"/>
          <w:sz w:val="24"/>
          <w:szCs w:val="24"/>
          <w:u w:val="none"/>
        </w:rPr>
        <w:t>本次评价采用类比监测的方法，对</w:t>
      </w:r>
      <w:r>
        <w:rPr>
          <w:rFonts w:hint="eastAsia" w:ascii="Times New Roman" w:hAnsi="Times New Roman"/>
          <w:sz w:val="24"/>
          <w:szCs w:val="24"/>
          <w:u w:val="none"/>
        </w:rPr>
        <w:t>220kV</w:t>
      </w:r>
      <w:r>
        <w:rPr>
          <w:rFonts w:hint="eastAsia" w:ascii="Times New Roman" w:hAnsi="Times New Roman"/>
          <w:sz w:val="24"/>
          <w:szCs w:val="24"/>
          <w:u w:val="none"/>
          <w:lang w:val="en-US" w:eastAsia="zh-CN"/>
        </w:rPr>
        <w:t>果山</w:t>
      </w:r>
      <w:r>
        <w:rPr>
          <w:rFonts w:ascii="Times New Roman" w:hAnsi="Times New Roman"/>
          <w:sz w:val="24"/>
          <w:szCs w:val="24"/>
          <w:u w:val="none"/>
        </w:rPr>
        <w:t>变电站运行后产生的工频电场、工频磁场对环境的影响进行预测，评价</w:t>
      </w:r>
      <w:r>
        <w:rPr>
          <w:rFonts w:hint="eastAsia" w:ascii="Times New Roman" w:hAnsi="Times New Roman"/>
          <w:sz w:val="24"/>
          <w:szCs w:val="24"/>
          <w:u w:val="none"/>
        </w:rPr>
        <w:t>220kV</w:t>
      </w:r>
      <w:r>
        <w:rPr>
          <w:rFonts w:hint="eastAsia" w:ascii="Times New Roman" w:hAnsi="Times New Roman"/>
          <w:sz w:val="24"/>
          <w:szCs w:val="24"/>
          <w:u w:val="none"/>
          <w:lang w:val="en-US" w:eastAsia="zh-CN"/>
        </w:rPr>
        <w:t>果山</w:t>
      </w:r>
      <w:r>
        <w:rPr>
          <w:rFonts w:ascii="Times New Roman" w:hAnsi="Times New Roman"/>
          <w:sz w:val="24"/>
          <w:szCs w:val="24"/>
          <w:u w:val="none"/>
        </w:rPr>
        <w:t>变电站的电磁环境影响程度及范围。</w:t>
      </w:r>
    </w:p>
    <w:p w14:paraId="77966825">
      <w:pPr>
        <w:pStyle w:val="10"/>
        <w:rPr>
          <w:rFonts w:ascii="Times New Roman" w:hAnsi="Times New Roman"/>
          <w:bCs/>
          <w:sz w:val="24"/>
          <w:szCs w:val="24"/>
          <w:u w:val="none"/>
        </w:rPr>
      </w:pPr>
      <w:r>
        <w:rPr>
          <w:rFonts w:ascii="Times New Roman" w:hAnsi="Times New Roman"/>
          <w:bCs/>
          <w:sz w:val="24"/>
          <w:szCs w:val="24"/>
          <w:u w:val="none"/>
        </w:rPr>
        <w:t>2.2.1.1类比工程概况及类比合理性分析</w:t>
      </w:r>
    </w:p>
    <w:p w14:paraId="2164D15E">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sz w:val="24"/>
          <w:u w:val="none"/>
        </w:rPr>
      </w:pPr>
      <w:r>
        <w:rPr>
          <w:rFonts w:hint="eastAsia"/>
          <w:bCs/>
          <w:sz w:val="24"/>
          <w:u w:val="none"/>
        </w:rPr>
        <w:t>本次评价变电站采用类比监测的方式进行预测分析。</w:t>
      </w:r>
    </w:p>
    <w:p w14:paraId="631D69FD">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Cs/>
          <w:sz w:val="24"/>
          <w:u w:val="none"/>
        </w:rPr>
      </w:pPr>
      <w:r>
        <w:rPr>
          <w:rFonts w:hint="eastAsia"/>
          <w:bCs/>
          <w:sz w:val="24"/>
          <w:u w:val="none"/>
        </w:rPr>
        <w:t>电磁环境类比测量，从严格意义讲，具有完全相同的设备型号（决定了电压等级及额定功率、额定电流等）、布置情况（决定了距离因子）和环境条件是最理想的，即：不仅有相同的主变数和容量，而且一次主接线也相同，布置情况及环境条件也相同。但是要满足这样的条件是很困难的，要解决这一实际困难，可以在关键部分相同，而达到进行类比的条件。所谓关键部分，就是主要的工频电场、工频磁场产生源。</w:t>
      </w:r>
    </w:p>
    <w:p w14:paraId="2BA7AFC3">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sz w:val="24"/>
          <w:u w:val="none"/>
        </w:rPr>
      </w:pPr>
      <w:r>
        <w:rPr>
          <w:rFonts w:hint="eastAsia"/>
          <w:bCs/>
          <w:sz w:val="24"/>
          <w:u w:val="none"/>
        </w:rPr>
        <w:t>对于围墙外的工频电场，要求最近的高压带电构架布置一致、电压相同，此时就可以认为具有可比性；同样对于变电站围墙外的工频磁场，也要求最近的通流导体的布置和电流相同才具有可比性。实际情况是，工频电场的类比条件相对容易相符，因为变电站主设备和母线电压是基本稳定的，不会随时间和负荷的变化而产生大的变化。但是产生工频磁场的电流却是随负荷变化而有较大的变化。</w:t>
      </w:r>
    </w:p>
    <w:p w14:paraId="65C38BED">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u w:val="none"/>
        </w:rPr>
      </w:pPr>
      <w:r>
        <w:rPr>
          <w:rFonts w:hint="eastAsia" w:ascii="Times New Roman" w:hAnsi="Times New Roman" w:eastAsia="宋体" w:cs="Times New Roman"/>
          <w:bCs/>
          <w:sz w:val="24"/>
          <w:u w:val="none"/>
        </w:rPr>
        <w:t>按照类似工程的主变规模、电压等级、布置形式等原则，本次选择220kV</w:t>
      </w:r>
      <w:r>
        <w:rPr>
          <w:rFonts w:hint="eastAsia" w:ascii="Times New Roman" w:hAnsi="Times New Roman" w:eastAsia="宋体" w:cs="Times New Roman"/>
          <w:bCs/>
          <w:sz w:val="24"/>
          <w:u w:val="none"/>
          <w:lang w:val="en-US" w:eastAsia="zh-CN"/>
        </w:rPr>
        <w:t>里明变电站扩建</w:t>
      </w:r>
      <w:r>
        <w:rPr>
          <w:rFonts w:hint="eastAsia" w:ascii="Times New Roman" w:hAnsi="Times New Roman" w:eastAsia="宋体" w:cs="Times New Roman"/>
          <w:bCs/>
          <w:sz w:val="24"/>
          <w:u w:val="none"/>
        </w:rPr>
        <w:t>工程（户</w:t>
      </w:r>
      <w:r>
        <w:rPr>
          <w:rFonts w:hint="eastAsia" w:ascii="Times New Roman" w:hAnsi="Times New Roman" w:eastAsia="宋体" w:cs="Times New Roman"/>
          <w:bCs/>
          <w:sz w:val="24"/>
          <w:u w:val="none"/>
          <w:lang w:val="en-US" w:eastAsia="zh-CN"/>
        </w:rPr>
        <w:t>外</w:t>
      </w:r>
      <w:r>
        <w:rPr>
          <w:rFonts w:hint="eastAsia" w:ascii="Times New Roman" w:hAnsi="Times New Roman" w:eastAsia="宋体" w:cs="Times New Roman"/>
          <w:bCs/>
          <w:sz w:val="24"/>
          <w:u w:val="none"/>
        </w:rPr>
        <w:t>布置、主变容量</w:t>
      </w:r>
      <w:r>
        <w:rPr>
          <w:rFonts w:hint="eastAsia" w:ascii="Times New Roman" w:hAnsi="Times New Roman" w:eastAsia="宋体" w:cs="Times New Roman"/>
          <w:bCs/>
          <w:sz w:val="24"/>
          <w:u w:val="none"/>
          <w:lang w:val="en-US" w:eastAsia="zh-CN"/>
        </w:rPr>
        <w:t>2</w:t>
      </w:r>
      <w:r>
        <w:rPr>
          <w:rFonts w:hint="eastAsia" w:ascii="Times New Roman" w:hAnsi="Times New Roman" w:eastAsia="宋体" w:cs="Times New Roman"/>
          <w:bCs/>
          <w:sz w:val="24"/>
          <w:u w:val="none"/>
        </w:rPr>
        <w:t>×</w:t>
      </w:r>
      <w:r>
        <w:rPr>
          <w:rFonts w:hint="eastAsia" w:ascii="Times New Roman" w:hAnsi="Times New Roman" w:eastAsia="宋体" w:cs="Times New Roman"/>
          <w:bCs/>
          <w:sz w:val="24"/>
          <w:u w:val="none"/>
          <w:lang w:val="en-US" w:eastAsia="zh-CN"/>
        </w:rPr>
        <w:t>180</w:t>
      </w:r>
      <w:r>
        <w:rPr>
          <w:rFonts w:hint="eastAsia" w:ascii="Times New Roman" w:hAnsi="Times New Roman" w:eastAsia="宋体" w:cs="Times New Roman"/>
          <w:bCs/>
          <w:sz w:val="24"/>
          <w:u w:val="none"/>
        </w:rPr>
        <w:t>MVA）作为类比对象。类比工程已通过竣工环保验收，类比监测数据引自</w:t>
      </w:r>
      <w:r>
        <w:rPr>
          <w:rFonts w:hint="eastAsia" w:ascii="Times New Roman" w:hAnsi="Times New Roman" w:eastAsia="宋体" w:cs="Times New Roman"/>
          <w:bCs/>
          <w:sz w:val="24"/>
          <w:u w:val="none"/>
          <w:lang w:eastAsia="zh-CN"/>
        </w:rPr>
        <w:t>《</w:t>
      </w:r>
      <w:r>
        <w:rPr>
          <w:rFonts w:hint="eastAsia" w:ascii="Times New Roman" w:hAnsi="Times New Roman" w:eastAsia="宋体" w:cs="Times New Roman"/>
          <w:bCs/>
          <w:sz w:val="24"/>
          <w:u w:val="none"/>
          <w:lang w:val="en-US" w:eastAsia="zh-CN"/>
        </w:rPr>
        <w:t>柳州市220千伏里明站扩建工程竣工环境保护验收监测</w:t>
      </w:r>
      <w:r>
        <w:rPr>
          <w:rFonts w:hint="eastAsia" w:ascii="Times New Roman" w:hAnsi="Times New Roman" w:eastAsia="宋体" w:cs="Times New Roman"/>
          <w:bCs/>
          <w:sz w:val="24"/>
          <w:u w:val="none"/>
          <w:lang w:eastAsia="zh-CN"/>
        </w:rPr>
        <w:t>》</w:t>
      </w:r>
      <w:r>
        <w:rPr>
          <w:rFonts w:hint="eastAsia" w:ascii="Times New Roman" w:hAnsi="Times New Roman" w:eastAsia="宋体" w:cs="Times New Roman"/>
          <w:bCs/>
          <w:sz w:val="24"/>
          <w:u w:val="none"/>
        </w:rPr>
        <w:t>监测时间为20</w:t>
      </w:r>
      <w:r>
        <w:rPr>
          <w:rFonts w:hint="eastAsia" w:ascii="Times New Roman" w:hAnsi="Times New Roman" w:eastAsia="宋体" w:cs="Times New Roman"/>
          <w:bCs/>
          <w:sz w:val="24"/>
          <w:u w:val="none"/>
          <w:lang w:val="en-US" w:eastAsia="zh-CN"/>
        </w:rPr>
        <w:t>25年1月15日</w:t>
      </w:r>
      <w:r>
        <w:rPr>
          <w:rFonts w:hint="eastAsia" w:cs="Times New Roman"/>
          <w:bCs/>
          <w:sz w:val="24"/>
          <w:u w:val="none"/>
          <w:lang w:val="en-US" w:eastAsia="zh-CN"/>
        </w:rPr>
        <w:t>—</w:t>
      </w:r>
      <w:r>
        <w:rPr>
          <w:rFonts w:hint="eastAsia" w:ascii="Times New Roman" w:hAnsi="Times New Roman" w:eastAsia="宋体" w:cs="Times New Roman"/>
          <w:bCs/>
          <w:sz w:val="24"/>
          <w:u w:val="none"/>
          <w:lang w:val="en-US" w:eastAsia="zh-CN"/>
        </w:rPr>
        <w:t>2025年1月16</w:t>
      </w:r>
      <w:r>
        <w:rPr>
          <w:rFonts w:hint="eastAsia" w:ascii="Times New Roman" w:hAnsi="Times New Roman" w:eastAsia="宋体" w:cs="Times New Roman"/>
          <w:bCs/>
          <w:sz w:val="24"/>
          <w:u w:val="none"/>
        </w:rPr>
        <w:t>日，监测报告见附件</w:t>
      </w:r>
      <w:r>
        <w:rPr>
          <w:rFonts w:hint="eastAsia" w:ascii="Times New Roman" w:hAnsi="Times New Roman" w:eastAsia="宋体" w:cs="Times New Roman"/>
          <w:bCs/>
          <w:sz w:val="24"/>
          <w:u w:val="none"/>
          <w:lang w:val="en-US" w:eastAsia="zh-CN"/>
        </w:rPr>
        <w:t>5</w:t>
      </w:r>
      <w:r>
        <w:rPr>
          <w:rFonts w:hint="eastAsia" w:ascii="Times New Roman" w:hAnsi="Times New Roman" w:eastAsia="宋体" w:cs="Times New Roman"/>
          <w:bCs/>
          <w:sz w:val="24"/>
          <w:u w:val="none"/>
        </w:rPr>
        <w:t>。本项目变电站与220kV</w:t>
      </w:r>
      <w:r>
        <w:rPr>
          <w:rFonts w:hint="eastAsia" w:ascii="Times New Roman" w:hAnsi="Times New Roman" w:eastAsia="宋体" w:cs="Times New Roman"/>
          <w:bCs/>
          <w:sz w:val="24"/>
          <w:u w:val="none"/>
          <w:lang w:val="en-US" w:eastAsia="zh-CN"/>
        </w:rPr>
        <w:t>里明变电站扩建</w:t>
      </w:r>
      <w:r>
        <w:rPr>
          <w:rFonts w:hint="eastAsia" w:ascii="Times New Roman" w:hAnsi="Times New Roman" w:eastAsia="宋体" w:cs="Times New Roman"/>
          <w:bCs/>
          <w:sz w:val="24"/>
          <w:u w:val="none"/>
        </w:rPr>
        <w:t>工程类比可行性分析见下表：</w:t>
      </w:r>
    </w:p>
    <w:p w14:paraId="0FB0B569">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u w:val="none"/>
          <w:lang w:val="zh-CN"/>
        </w:rPr>
      </w:pPr>
      <w:r>
        <w:rPr>
          <w:rFonts w:hint="eastAsia" w:ascii="Times New Roman" w:hAnsi="Times New Roman" w:eastAsia="宋体" w:cs="Times New Roman"/>
          <w:bCs/>
          <w:sz w:val="24"/>
          <w:u w:val="none"/>
        </w:rPr>
        <w:t>本工程与类比工程的电压等级、容量比较</w:t>
      </w:r>
      <w:r>
        <w:rPr>
          <w:rFonts w:hint="eastAsia" w:cs="Times New Roman"/>
          <w:bCs/>
          <w:sz w:val="24"/>
          <w:u w:val="none"/>
          <w:lang w:eastAsia="zh-CN"/>
        </w:rPr>
        <w:t>见</w:t>
      </w:r>
      <w:r>
        <w:rPr>
          <w:rFonts w:hint="eastAsia" w:ascii="Times New Roman" w:hAnsi="Times New Roman" w:eastAsia="宋体" w:cs="Times New Roman"/>
          <w:bCs/>
          <w:sz w:val="24"/>
          <w:u w:val="none"/>
        </w:rPr>
        <w:t>表2.2-1。</w:t>
      </w:r>
    </w:p>
    <w:p w14:paraId="5DABD384">
      <w:pPr>
        <w:widowControl/>
        <w:jc w:val="center"/>
        <w:rPr>
          <w:b/>
          <w:bCs/>
          <w:u w:val="none"/>
          <w:lang w:val="zh-CN"/>
        </w:rPr>
      </w:pPr>
      <w:r>
        <w:rPr>
          <w:b/>
          <w:bCs/>
          <w:u w:val="none"/>
          <w:lang w:val="zh-CN"/>
        </w:rPr>
        <w:t>表2</w:t>
      </w:r>
      <w:r>
        <w:rPr>
          <w:b/>
          <w:bCs/>
          <w:u w:val="none"/>
        </w:rPr>
        <w:t>.2</w:t>
      </w:r>
      <w:r>
        <w:rPr>
          <w:rFonts w:hint="eastAsia"/>
          <w:b/>
          <w:bCs/>
          <w:u w:val="none"/>
        </w:rPr>
        <w:t>-</w:t>
      </w:r>
      <w:r>
        <w:rPr>
          <w:b/>
          <w:bCs/>
          <w:u w:val="none"/>
        </w:rPr>
        <w:t>1</w:t>
      </w:r>
      <w:r>
        <w:rPr>
          <w:b/>
          <w:bCs/>
          <w:u w:val="none"/>
          <w:lang w:val="zh-CN"/>
        </w:rPr>
        <w:t>变电站主要技术指标对照表</w:t>
      </w:r>
    </w:p>
    <w:tbl>
      <w:tblPr>
        <w:tblStyle w:val="19"/>
        <w:tblpPr w:leftFromText="180" w:rightFromText="180" w:vertAnchor="text" w:horzAnchor="page" w:tblpX="1707" w:tblpY="57"/>
        <w:tblOverlap w:val="never"/>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384"/>
        <w:gridCol w:w="2509"/>
        <w:gridCol w:w="2963"/>
        <w:gridCol w:w="1424"/>
      </w:tblGrid>
      <w:tr w14:paraId="1F820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75057E93">
            <w:pPr>
              <w:pageBreakBefore w:val="0"/>
              <w:kinsoku/>
              <w:wordWrap/>
              <w:topLinePunct w:val="0"/>
              <w:bidi w:val="0"/>
              <w:spacing w:line="360" w:lineRule="auto"/>
              <w:ind w:firstLine="0" w:firstLineChars="0"/>
              <w:jc w:val="center"/>
              <w:rPr>
                <w:b/>
                <w:sz w:val="21"/>
                <w:szCs w:val="21"/>
                <w:u w:val="none"/>
              </w:rPr>
            </w:pPr>
            <w:r>
              <w:rPr>
                <w:rFonts w:hint="eastAsia"/>
                <w:b/>
                <w:sz w:val="21"/>
                <w:szCs w:val="21"/>
                <w:u w:val="none"/>
              </w:rPr>
              <w:t>类比指标</w:t>
            </w:r>
          </w:p>
        </w:tc>
        <w:tc>
          <w:tcPr>
            <w:tcW w:w="1351" w:type="pct"/>
            <w:noWrap w:val="0"/>
            <w:vAlign w:val="center"/>
          </w:tcPr>
          <w:p w14:paraId="26414726">
            <w:pPr>
              <w:pageBreakBefore w:val="0"/>
              <w:kinsoku/>
              <w:wordWrap/>
              <w:topLinePunct w:val="0"/>
              <w:bidi w:val="0"/>
              <w:spacing w:line="360" w:lineRule="auto"/>
              <w:ind w:firstLine="0" w:firstLineChars="0"/>
              <w:jc w:val="center"/>
              <w:rPr>
                <w:b/>
                <w:sz w:val="21"/>
                <w:szCs w:val="21"/>
                <w:u w:val="none"/>
              </w:rPr>
            </w:pPr>
            <w:r>
              <w:rPr>
                <w:rFonts w:hint="eastAsia"/>
                <w:b/>
                <w:bCs w:val="0"/>
                <w:sz w:val="21"/>
                <w:szCs w:val="21"/>
                <w:highlight w:val="none"/>
                <w:u w:val="none"/>
              </w:rPr>
              <w:t>220kV</w:t>
            </w:r>
            <w:r>
              <w:rPr>
                <w:rFonts w:hint="eastAsia" w:ascii="宋体" w:hAnsi="宋体"/>
                <w:b/>
                <w:bCs/>
                <w:i w:val="0"/>
                <w:iCs w:val="0"/>
                <w:sz w:val="21"/>
                <w:szCs w:val="21"/>
                <w:highlight w:val="none"/>
                <w:u w:val="none"/>
                <w:lang w:val="en-US" w:eastAsia="zh-CN"/>
              </w:rPr>
              <w:t>里明</w:t>
            </w:r>
            <w:r>
              <w:rPr>
                <w:rFonts w:hint="eastAsia"/>
                <w:b/>
                <w:bCs w:val="0"/>
                <w:sz w:val="21"/>
                <w:szCs w:val="21"/>
                <w:highlight w:val="none"/>
                <w:u w:val="none"/>
                <w:lang w:val="en-US" w:eastAsia="zh-CN"/>
              </w:rPr>
              <w:t>变电站</w:t>
            </w:r>
          </w:p>
        </w:tc>
        <w:tc>
          <w:tcPr>
            <w:tcW w:w="1596" w:type="pct"/>
            <w:noWrap w:val="0"/>
            <w:vAlign w:val="center"/>
          </w:tcPr>
          <w:p w14:paraId="48DDB1DC">
            <w:pPr>
              <w:pageBreakBefore w:val="0"/>
              <w:kinsoku/>
              <w:wordWrap/>
              <w:topLinePunct w:val="0"/>
              <w:bidi w:val="0"/>
              <w:spacing w:line="360" w:lineRule="auto"/>
              <w:ind w:firstLine="0" w:firstLineChars="0"/>
              <w:jc w:val="center"/>
              <w:rPr>
                <w:rFonts w:hint="eastAsia" w:eastAsia="宋体"/>
                <w:b/>
                <w:sz w:val="21"/>
                <w:szCs w:val="21"/>
                <w:u w:val="none"/>
                <w:lang w:eastAsia="zh-CN"/>
              </w:rPr>
            </w:pPr>
            <w:r>
              <w:rPr>
                <w:rFonts w:hint="eastAsia"/>
                <w:b/>
                <w:sz w:val="21"/>
                <w:szCs w:val="21"/>
                <w:u w:val="none"/>
              </w:rPr>
              <w:t>本项目变电站</w:t>
            </w:r>
            <w:r>
              <w:rPr>
                <w:rFonts w:hint="eastAsia"/>
                <w:b/>
                <w:sz w:val="21"/>
                <w:szCs w:val="21"/>
                <w:u w:val="none"/>
                <w:lang w:eastAsia="zh-CN"/>
              </w:rPr>
              <w:t>（扩建后）</w:t>
            </w:r>
          </w:p>
        </w:tc>
        <w:tc>
          <w:tcPr>
            <w:tcW w:w="767" w:type="pct"/>
            <w:noWrap w:val="0"/>
            <w:vAlign w:val="center"/>
          </w:tcPr>
          <w:p w14:paraId="248280AB">
            <w:pPr>
              <w:pStyle w:val="49"/>
              <w:spacing w:before="24" w:after="24"/>
              <w:rPr>
                <w:b/>
                <w:sz w:val="21"/>
                <w:szCs w:val="21"/>
                <w:u w:val="none"/>
              </w:rPr>
            </w:pPr>
            <w:r>
              <w:rPr>
                <w:rFonts w:hint="eastAsia"/>
                <w:b/>
                <w:bCs/>
                <w:color w:val="auto"/>
                <w:sz w:val="21"/>
                <w:szCs w:val="21"/>
                <w:highlight w:val="none"/>
                <w:u w:val="none"/>
              </w:rPr>
              <w:t>可比性分析</w:t>
            </w:r>
          </w:p>
        </w:tc>
      </w:tr>
      <w:tr w14:paraId="7DC93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1284" w:type="pct"/>
            <w:noWrap w:val="0"/>
            <w:vAlign w:val="center"/>
          </w:tcPr>
          <w:p w14:paraId="7E937F05">
            <w:pPr>
              <w:pageBreakBefore w:val="0"/>
              <w:kinsoku/>
              <w:wordWrap/>
              <w:topLinePunct w:val="0"/>
              <w:bidi w:val="0"/>
              <w:spacing w:line="360" w:lineRule="auto"/>
              <w:ind w:firstLine="0" w:firstLineChars="0"/>
              <w:jc w:val="center"/>
              <w:rPr>
                <w:bCs/>
                <w:sz w:val="21"/>
                <w:szCs w:val="21"/>
                <w:u w:val="none"/>
              </w:rPr>
            </w:pPr>
            <w:r>
              <w:rPr>
                <w:rFonts w:hint="eastAsia"/>
                <w:bCs/>
                <w:sz w:val="21"/>
                <w:szCs w:val="21"/>
                <w:u w:val="none"/>
              </w:rPr>
              <w:t>电压等级</w:t>
            </w:r>
          </w:p>
        </w:tc>
        <w:tc>
          <w:tcPr>
            <w:tcW w:w="1351" w:type="pct"/>
            <w:noWrap w:val="0"/>
            <w:vAlign w:val="center"/>
          </w:tcPr>
          <w:p w14:paraId="34D5BF7F">
            <w:pPr>
              <w:pageBreakBefore w:val="0"/>
              <w:kinsoku/>
              <w:wordWrap/>
              <w:topLinePunct w:val="0"/>
              <w:bidi w:val="0"/>
              <w:spacing w:line="360" w:lineRule="auto"/>
              <w:ind w:firstLine="0" w:firstLineChars="0"/>
              <w:jc w:val="center"/>
              <w:rPr>
                <w:bCs/>
                <w:sz w:val="21"/>
                <w:szCs w:val="21"/>
                <w:u w:val="none"/>
              </w:rPr>
            </w:pPr>
            <w:r>
              <w:rPr>
                <w:bCs/>
                <w:sz w:val="21"/>
                <w:szCs w:val="21"/>
                <w:u w:val="none"/>
              </w:rPr>
              <w:t>220kV</w:t>
            </w:r>
          </w:p>
        </w:tc>
        <w:tc>
          <w:tcPr>
            <w:tcW w:w="1596" w:type="pct"/>
            <w:noWrap w:val="0"/>
            <w:vAlign w:val="center"/>
          </w:tcPr>
          <w:p w14:paraId="787B0F43">
            <w:pPr>
              <w:pageBreakBefore w:val="0"/>
              <w:kinsoku/>
              <w:wordWrap/>
              <w:topLinePunct w:val="0"/>
              <w:bidi w:val="0"/>
              <w:spacing w:line="360" w:lineRule="auto"/>
              <w:ind w:firstLine="0" w:firstLineChars="0"/>
              <w:jc w:val="center"/>
              <w:rPr>
                <w:rFonts w:hint="eastAsia"/>
                <w:bCs/>
                <w:sz w:val="21"/>
                <w:szCs w:val="21"/>
                <w:u w:val="none"/>
              </w:rPr>
            </w:pPr>
            <w:r>
              <w:rPr>
                <w:bCs/>
                <w:sz w:val="21"/>
                <w:szCs w:val="21"/>
                <w:u w:val="none"/>
              </w:rPr>
              <w:t>220kV</w:t>
            </w:r>
          </w:p>
        </w:tc>
        <w:tc>
          <w:tcPr>
            <w:tcW w:w="767" w:type="pct"/>
            <w:noWrap w:val="0"/>
            <w:vAlign w:val="center"/>
          </w:tcPr>
          <w:p w14:paraId="62DCB845">
            <w:pPr>
              <w:pStyle w:val="49"/>
              <w:spacing w:before="24" w:after="24"/>
              <w:rPr>
                <w:rFonts w:hint="eastAsia"/>
                <w:bCs/>
                <w:sz w:val="21"/>
                <w:szCs w:val="21"/>
                <w:u w:val="none"/>
              </w:rPr>
            </w:pPr>
            <w:r>
              <w:rPr>
                <w:rFonts w:hint="eastAsia"/>
                <w:color w:val="auto"/>
                <w:sz w:val="21"/>
                <w:szCs w:val="21"/>
                <w:highlight w:val="none"/>
                <w:u w:val="none"/>
              </w:rPr>
              <w:t>相同</w:t>
            </w:r>
          </w:p>
        </w:tc>
      </w:tr>
      <w:tr w14:paraId="14F1E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trPr>
        <w:tc>
          <w:tcPr>
            <w:tcW w:w="1284" w:type="pct"/>
            <w:noWrap w:val="0"/>
            <w:vAlign w:val="center"/>
          </w:tcPr>
          <w:p w14:paraId="08023FA1">
            <w:pPr>
              <w:pageBreakBefore w:val="0"/>
              <w:kinsoku/>
              <w:wordWrap/>
              <w:topLinePunct w:val="0"/>
              <w:bidi w:val="0"/>
              <w:spacing w:line="360" w:lineRule="auto"/>
              <w:ind w:firstLine="0" w:firstLineChars="0"/>
              <w:jc w:val="center"/>
              <w:rPr>
                <w:bCs/>
                <w:sz w:val="21"/>
                <w:szCs w:val="21"/>
                <w:u w:val="none"/>
              </w:rPr>
            </w:pPr>
            <w:r>
              <w:rPr>
                <w:rFonts w:hint="eastAsia"/>
                <w:color w:val="auto"/>
                <w:sz w:val="21"/>
                <w:szCs w:val="21"/>
                <w:highlight w:val="none"/>
                <w:u w:val="none"/>
              </w:rPr>
              <w:t>主变容量</w:t>
            </w:r>
          </w:p>
        </w:tc>
        <w:tc>
          <w:tcPr>
            <w:tcW w:w="1351" w:type="pct"/>
            <w:noWrap w:val="0"/>
            <w:vAlign w:val="center"/>
          </w:tcPr>
          <w:p w14:paraId="0972FD47">
            <w:pPr>
              <w:pageBreakBefore w:val="0"/>
              <w:kinsoku/>
              <w:wordWrap/>
              <w:topLinePunct w:val="0"/>
              <w:bidi w:val="0"/>
              <w:spacing w:line="360" w:lineRule="auto"/>
              <w:ind w:firstLine="0" w:firstLineChars="0"/>
              <w:jc w:val="center"/>
              <w:rPr>
                <w:bCs/>
                <w:sz w:val="21"/>
                <w:szCs w:val="21"/>
                <w:u w:val="none"/>
              </w:rPr>
            </w:pPr>
            <w:r>
              <w:rPr>
                <w:rFonts w:hint="eastAsia"/>
                <w:bCs/>
                <w:sz w:val="21"/>
                <w:szCs w:val="21"/>
                <w:u w:val="none"/>
                <w:lang w:val="en-US" w:eastAsia="zh-CN"/>
              </w:rPr>
              <w:t>2</w:t>
            </w:r>
            <w:r>
              <w:rPr>
                <w:bCs/>
                <w:sz w:val="21"/>
                <w:szCs w:val="21"/>
                <w:u w:val="none"/>
              </w:rPr>
              <w:t>×180MVA</w:t>
            </w:r>
          </w:p>
        </w:tc>
        <w:tc>
          <w:tcPr>
            <w:tcW w:w="1596" w:type="pct"/>
            <w:noWrap w:val="0"/>
            <w:vAlign w:val="center"/>
          </w:tcPr>
          <w:p w14:paraId="35147484">
            <w:pPr>
              <w:pageBreakBefore w:val="0"/>
              <w:kinsoku/>
              <w:wordWrap/>
              <w:topLinePunct w:val="0"/>
              <w:bidi w:val="0"/>
              <w:spacing w:line="360" w:lineRule="auto"/>
              <w:ind w:firstLine="0" w:firstLineChars="0"/>
              <w:jc w:val="center"/>
              <w:rPr>
                <w:rFonts w:hint="eastAsia"/>
                <w:bCs/>
                <w:sz w:val="21"/>
                <w:szCs w:val="21"/>
                <w:u w:val="none"/>
              </w:rPr>
            </w:pPr>
            <w:r>
              <w:rPr>
                <w:rFonts w:hint="eastAsia"/>
                <w:bCs/>
                <w:sz w:val="21"/>
                <w:szCs w:val="21"/>
                <w:u w:val="none"/>
                <w:lang w:val="en-US" w:eastAsia="zh-CN"/>
              </w:rPr>
              <w:t>2</w:t>
            </w:r>
            <w:r>
              <w:rPr>
                <w:bCs/>
                <w:sz w:val="21"/>
                <w:szCs w:val="21"/>
                <w:u w:val="none"/>
              </w:rPr>
              <w:t>×180MVA</w:t>
            </w:r>
          </w:p>
        </w:tc>
        <w:tc>
          <w:tcPr>
            <w:tcW w:w="767" w:type="pct"/>
            <w:noWrap w:val="0"/>
            <w:vAlign w:val="center"/>
          </w:tcPr>
          <w:p w14:paraId="2EBC9397">
            <w:pPr>
              <w:pStyle w:val="49"/>
              <w:spacing w:before="24" w:after="24"/>
              <w:rPr>
                <w:rFonts w:hint="eastAsia" w:eastAsia="宋体"/>
                <w:bCs/>
                <w:sz w:val="21"/>
                <w:szCs w:val="21"/>
                <w:u w:val="none"/>
                <w:lang w:eastAsia="zh-CN"/>
              </w:rPr>
            </w:pPr>
            <w:r>
              <w:rPr>
                <w:rFonts w:hint="eastAsia"/>
                <w:color w:val="auto"/>
                <w:sz w:val="21"/>
                <w:szCs w:val="21"/>
                <w:highlight w:val="none"/>
                <w:u w:val="none"/>
              </w:rPr>
              <w:t>相同</w:t>
            </w:r>
          </w:p>
        </w:tc>
      </w:tr>
      <w:tr w14:paraId="62097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7725AF4C">
            <w:pPr>
              <w:pageBreakBefore w:val="0"/>
              <w:kinsoku/>
              <w:wordWrap/>
              <w:topLinePunct w:val="0"/>
              <w:bidi w:val="0"/>
              <w:spacing w:line="360" w:lineRule="auto"/>
              <w:ind w:firstLine="0" w:firstLineChars="0"/>
              <w:jc w:val="center"/>
              <w:rPr>
                <w:bCs/>
                <w:sz w:val="21"/>
                <w:szCs w:val="21"/>
                <w:u w:val="none"/>
              </w:rPr>
            </w:pPr>
            <w:bookmarkStart w:id="193" w:name="_Hlk173673868"/>
            <w:r>
              <w:rPr>
                <w:rFonts w:hint="eastAsia"/>
                <w:bCs/>
                <w:sz w:val="21"/>
                <w:szCs w:val="21"/>
                <w:u w:val="none"/>
              </w:rPr>
              <w:t>主变布置形式</w:t>
            </w:r>
            <w:bookmarkEnd w:id="193"/>
          </w:p>
        </w:tc>
        <w:tc>
          <w:tcPr>
            <w:tcW w:w="1351" w:type="pct"/>
            <w:noWrap w:val="0"/>
            <w:vAlign w:val="center"/>
          </w:tcPr>
          <w:p w14:paraId="366C6E7D">
            <w:pPr>
              <w:pageBreakBefore w:val="0"/>
              <w:kinsoku/>
              <w:wordWrap/>
              <w:topLinePunct w:val="0"/>
              <w:bidi w:val="0"/>
              <w:spacing w:line="360" w:lineRule="auto"/>
              <w:ind w:firstLine="0" w:firstLineChars="0"/>
              <w:jc w:val="center"/>
              <w:rPr>
                <w:bCs/>
                <w:sz w:val="21"/>
                <w:szCs w:val="21"/>
                <w:u w:val="none"/>
              </w:rPr>
            </w:pPr>
            <w:r>
              <w:rPr>
                <w:rFonts w:hint="eastAsia"/>
                <w:bCs/>
                <w:sz w:val="21"/>
                <w:szCs w:val="21"/>
                <w:u w:val="none"/>
              </w:rPr>
              <w:t>户外AIS</w:t>
            </w:r>
          </w:p>
        </w:tc>
        <w:tc>
          <w:tcPr>
            <w:tcW w:w="1596" w:type="pct"/>
            <w:noWrap w:val="0"/>
            <w:vAlign w:val="center"/>
          </w:tcPr>
          <w:p w14:paraId="571D2F12">
            <w:pPr>
              <w:pageBreakBefore w:val="0"/>
              <w:kinsoku/>
              <w:wordWrap/>
              <w:topLinePunct w:val="0"/>
              <w:bidi w:val="0"/>
              <w:spacing w:line="360" w:lineRule="auto"/>
              <w:ind w:firstLine="0" w:firstLineChars="0"/>
              <w:jc w:val="center"/>
              <w:rPr>
                <w:rFonts w:hint="eastAsia"/>
                <w:bCs/>
                <w:sz w:val="21"/>
                <w:szCs w:val="21"/>
                <w:u w:val="none"/>
              </w:rPr>
            </w:pPr>
            <w:r>
              <w:rPr>
                <w:rFonts w:hint="eastAsia"/>
                <w:bCs/>
                <w:sz w:val="21"/>
                <w:szCs w:val="21"/>
                <w:u w:val="none"/>
              </w:rPr>
              <w:t>户外AIS</w:t>
            </w:r>
          </w:p>
        </w:tc>
        <w:tc>
          <w:tcPr>
            <w:tcW w:w="767" w:type="pct"/>
            <w:noWrap w:val="0"/>
            <w:vAlign w:val="center"/>
          </w:tcPr>
          <w:p w14:paraId="28CA2D98">
            <w:pPr>
              <w:pStyle w:val="49"/>
              <w:spacing w:before="24" w:after="24"/>
              <w:rPr>
                <w:rFonts w:hint="eastAsia"/>
                <w:bCs/>
                <w:sz w:val="21"/>
                <w:szCs w:val="21"/>
                <w:u w:val="none"/>
              </w:rPr>
            </w:pPr>
            <w:r>
              <w:rPr>
                <w:rFonts w:hint="eastAsia"/>
                <w:color w:val="auto"/>
                <w:sz w:val="21"/>
                <w:szCs w:val="21"/>
                <w:highlight w:val="none"/>
                <w:u w:val="none"/>
              </w:rPr>
              <w:t>相同</w:t>
            </w:r>
          </w:p>
        </w:tc>
      </w:tr>
      <w:tr w14:paraId="3BCC8A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192F34FB">
            <w:pPr>
              <w:jc w:val="center"/>
              <w:rPr>
                <w:rFonts w:hint="eastAsia" w:eastAsia="宋体"/>
                <w:bCs/>
                <w:sz w:val="21"/>
                <w:szCs w:val="21"/>
                <w:u w:val="none"/>
                <w:lang w:eastAsia="zh-CN"/>
              </w:rPr>
            </w:pPr>
            <w:r>
              <w:rPr>
                <w:rFonts w:hint="eastAsia"/>
                <w:color w:val="auto"/>
                <w:sz w:val="21"/>
                <w:szCs w:val="21"/>
                <w:highlight w:val="none"/>
                <w:u w:val="none"/>
              </w:rPr>
              <w:t>环境特征</w:t>
            </w:r>
          </w:p>
        </w:tc>
        <w:tc>
          <w:tcPr>
            <w:tcW w:w="1351" w:type="pct"/>
            <w:noWrap w:val="0"/>
            <w:vAlign w:val="center"/>
          </w:tcPr>
          <w:p w14:paraId="46ABA4A5">
            <w:pPr>
              <w:pStyle w:val="32"/>
              <w:bidi w:val="0"/>
              <w:rPr>
                <w:rFonts w:hint="default" w:eastAsia="宋体"/>
                <w:bCs/>
                <w:sz w:val="21"/>
                <w:szCs w:val="21"/>
                <w:u w:val="none"/>
                <w:lang w:val="en-US" w:eastAsia="zh-CN"/>
              </w:rPr>
            </w:pPr>
            <w:r>
              <w:rPr>
                <w:rFonts w:hint="eastAsia"/>
                <w:color w:val="auto"/>
                <w:sz w:val="21"/>
                <w:szCs w:val="21"/>
                <w:highlight w:val="none"/>
                <w:u w:val="none"/>
              </w:rPr>
              <w:t>平地</w:t>
            </w:r>
          </w:p>
        </w:tc>
        <w:tc>
          <w:tcPr>
            <w:tcW w:w="1596" w:type="pct"/>
            <w:noWrap w:val="0"/>
            <w:vAlign w:val="center"/>
          </w:tcPr>
          <w:p w14:paraId="20971CC4">
            <w:pPr>
              <w:pStyle w:val="32"/>
              <w:bidi w:val="0"/>
              <w:rPr>
                <w:rFonts w:hint="eastAsia"/>
                <w:bCs/>
                <w:sz w:val="21"/>
                <w:szCs w:val="21"/>
                <w:u w:val="none"/>
              </w:rPr>
            </w:pPr>
            <w:r>
              <w:rPr>
                <w:rFonts w:hint="eastAsia"/>
                <w:color w:val="auto"/>
                <w:sz w:val="21"/>
                <w:szCs w:val="21"/>
                <w:highlight w:val="none"/>
                <w:u w:val="none"/>
              </w:rPr>
              <w:t>平地</w:t>
            </w:r>
          </w:p>
        </w:tc>
        <w:tc>
          <w:tcPr>
            <w:tcW w:w="767" w:type="pct"/>
            <w:noWrap w:val="0"/>
            <w:vAlign w:val="center"/>
          </w:tcPr>
          <w:p w14:paraId="18FFB7E4">
            <w:pPr>
              <w:pStyle w:val="49"/>
              <w:spacing w:before="24" w:after="24"/>
              <w:rPr>
                <w:rFonts w:hint="eastAsia" w:eastAsia="宋体"/>
                <w:bCs/>
                <w:sz w:val="21"/>
                <w:szCs w:val="21"/>
                <w:u w:val="none"/>
                <w:lang w:eastAsia="zh-CN"/>
              </w:rPr>
            </w:pPr>
            <w:r>
              <w:rPr>
                <w:rFonts w:hint="eastAsia"/>
                <w:b w:val="0"/>
                <w:bCs w:val="0"/>
                <w:color w:val="auto"/>
                <w:sz w:val="21"/>
                <w:szCs w:val="21"/>
                <w:highlight w:val="none"/>
                <w:u w:val="none"/>
                <w:lang w:val="en-US" w:eastAsia="zh-CN"/>
              </w:rPr>
              <w:t>相同</w:t>
            </w:r>
          </w:p>
        </w:tc>
      </w:tr>
      <w:tr w14:paraId="6CAA2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59F9294C">
            <w:pPr>
              <w:pageBreakBefore w:val="0"/>
              <w:kinsoku/>
              <w:wordWrap/>
              <w:topLinePunct w:val="0"/>
              <w:bidi w:val="0"/>
              <w:spacing w:line="360" w:lineRule="auto"/>
              <w:ind w:firstLine="0" w:firstLineChars="0"/>
              <w:jc w:val="center"/>
              <w:rPr>
                <w:rFonts w:hint="default"/>
                <w:bCs/>
                <w:sz w:val="21"/>
                <w:szCs w:val="21"/>
                <w:u w:val="none"/>
                <w:lang w:val="en-US" w:eastAsia="zh-CN"/>
              </w:rPr>
            </w:pPr>
            <w:r>
              <w:rPr>
                <w:rFonts w:hint="eastAsia"/>
                <w:bCs/>
                <w:sz w:val="21"/>
                <w:szCs w:val="21"/>
                <w:u w:val="none"/>
                <w:lang w:val="en-US" w:eastAsia="zh-CN"/>
              </w:rPr>
              <w:t>环境条件</w:t>
            </w:r>
          </w:p>
        </w:tc>
        <w:tc>
          <w:tcPr>
            <w:tcW w:w="1351" w:type="pct"/>
            <w:noWrap w:val="0"/>
            <w:vAlign w:val="center"/>
          </w:tcPr>
          <w:p w14:paraId="30536FE7">
            <w:pPr>
              <w:pageBreakBefore w:val="0"/>
              <w:kinsoku/>
              <w:wordWrap/>
              <w:topLinePunct w:val="0"/>
              <w:bidi w:val="0"/>
              <w:spacing w:line="360" w:lineRule="auto"/>
              <w:ind w:firstLine="0" w:firstLineChars="0"/>
              <w:jc w:val="center"/>
              <w:rPr>
                <w:rFonts w:hint="default" w:eastAsia="宋体"/>
                <w:bCs/>
                <w:sz w:val="21"/>
                <w:szCs w:val="21"/>
                <w:u w:val="none"/>
                <w:lang w:val="en-US" w:eastAsia="zh-CN"/>
              </w:rPr>
            </w:pPr>
            <w:r>
              <w:rPr>
                <w:rFonts w:hint="eastAsia"/>
                <w:color w:val="auto"/>
                <w:sz w:val="21"/>
                <w:szCs w:val="21"/>
                <w:highlight w:val="none"/>
                <w:u w:val="none"/>
                <w:lang w:val="en-US" w:eastAsia="zh-CN"/>
              </w:rPr>
              <w:t>柳州市</w:t>
            </w:r>
          </w:p>
        </w:tc>
        <w:tc>
          <w:tcPr>
            <w:tcW w:w="1596" w:type="pct"/>
            <w:noWrap w:val="0"/>
            <w:vAlign w:val="center"/>
          </w:tcPr>
          <w:p w14:paraId="64B96EA1">
            <w:pPr>
              <w:pageBreakBefore w:val="0"/>
              <w:kinsoku/>
              <w:wordWrap/>
              <w:topLinePunct w:val="0"/>
              <w:bidi w:val="0"/>
              <w:spacing w:line="360" w:lineRule="auto"/>
              <w:ind w:firstLine="0" w:firstLineChars="0"/>
              <w:jc w:val="center"/>
              <w:rPr>
                <w:rFonts w:hint="eastAsia"/>
                <w:bCs/>
                <w:sz w:val="21"/>
                <w:szCs w:val="21"/>
                <w:u w:val="none"/>
              </w:rPr>
            </w:pPr>
            <w:r>
              <w:rPr>
                <w:rFonts w:hint="eastAsia"/>
                <w:color w:val="auto"/>
                <w:sz w:val="21"/>
                <w:szCs w:val="21"/>
                <w:highlight w:val="none"/>
                <w:u w:val="none"/>
                <w:lang w:val="en-US" w:eastAsia="zh-CN"/>
              </w:rPr>
              <w:t>柳州市</w:t>
            </w:r>
          </w:p>
        </w:tc>
        <w:tc>
          <w:tcPr>
            <w:tcW w:w="767" w:type="pct"/>
            <w:noWrap w:val="0"/>
            <w:vAlign w:val="center"/>
          </w:tcPr>
          <w:p w14:paraId="47181AE3">
            <w:pPr>
              <w:pStyle w:val="49"/>
              <w:spacing w:before="24" w:after="24"/>
              <w:rPr>
                <w:sz w:val="21"/>
                <w:szCs w:val="21"/>
                <w:u w:val="none"/>
              </w:rPr>
            </w:pPr>
            <w:r>
              <w:rPr>
                <w:rFonts w:hint="eastAsia"/>
                <w:color w:val="auto"/>
                <w:sz w:val="21"/>
                <w:szCs w:val="21"/>
                <w:highlight w:val="none"/>
                <w:u w:val="none"/>
              </w:rPr>
              <w:t>相同</w:t>
            </w:r>
          </w:p>
        </w:tc>
      </w:tr>
      <w:tr w14:paraId="7D35F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1EF325CD">
            <w:pPr>
              <w:pageBreakBefore w:val="0"/>
              <w:kinsoku/>
              <w:wordWrap/>
              <w:topLinePunct w:val="0"/>
              <w:bidi w:val="0"/>
              <w:spacing w:line="360" w:lineRule="auto"/>
              <w:ind w:firstLine="0" w:firstLineChars="0"/>
              <w:jc w:val="center"/>
              <w:rPr>
                <w:rFonts w:hint="default" w:ascii="Times New Roman" w:hAnsi="Times New Roman" w:eastAsia="宋体" w:cs="Times New Roman"/>
                <w:sz w:val="21"/>
                <w:szCs w:val="21"/>
                <w:highlight w:val="none"/>
                <w:u w:val="none"/>
                <w:lang w:val="en-US"/>
              </w:rPr>
            </w:pPr>
            <w:r>
              <w:rPr>
                <w:rFonts w:hint="eastAsia"/>
                <w:sz w:val="21"/>
                <w:szCs w:val="21"/>
                <w:highlight w:val="none"/>
                <w:u w:val="none"/>
                <w:lang w:val="en-US" w:eastAsia="zh-CN"/>
              </w:rPr>
              <w:t>220kV出线回数</w:t>
            </w:r>
          </w:p>
        </w:tc>
        <w:tc>
          <w:tcPr>
            <w:tcW w:w="1351" w:type="pct"/>
            <w:noWrap w:val="0"/>
            <w:vAlign w:val="center"/>
          </w:tcPr>
          <w:p w14:paraId="6F54DE9B">
            <w:pPr>
              <w:pageBreakBefore w:val="0"/>
              <w:kinsoku/>
              <w:wordWrap/>
              <w:topLinePunct w:val="0"/>
              <w:bidi w:val="0"/>
              <w:spacing w:line="360" w:lineRule="auto"/>
              <w:ind w:firstLine="0" w:firstLineChars="0"/>
              <w:jc w:val="center"/>
              <w:rPr>
                <w:rFonts w:hint="default" w:ascii="Times New Roman" w:hAnsi="Times New Roman" w:eastAsia="宋体" w:cs="Times New Roman"/>
                <w:sz w:val="21"/>
                <w:szCs w:val="21"/>
                <w:highlight w:val="none"/>
                <w:u w:val="none"/>
                <w:lang w:val="en-US" w:eastAsia="zh-CN"/>
              </w:rPr>
            </w:pPr>
            <w:r>
              <w:rPr>
                <w:rFonts w:hint="eastAsia" w:cs="Times New Roman"/>
                <w:sz w:val="21"/>
                <w:szCs w:val="21"/>
                <w:highlight w:val="none"/>
                <w:u w:val="none"/>
                <w:lang w:val="en-US" w:eastAsia="zh-CN"/>
              </w:rPr>
              <w:t>4回</w:t>
            </w:r>
          </w:p>
        </w:tc>
        <w:tc>
          <w:tcPr>
            <w:tcW w:w="1596" w:type="pct"/>
            <w:shd w:val="clear" w:color="auto" w:fill="auto"/>
            <w:noWrap w:val="0"/>
            <w:vAlign w:val="center"/>
          </w:tcPr>
          <w:p w14:paraId="121D56C6">
            <w:pPr>
              <w:pStyle w:val="49"/>
              <w:keepNext w:val="0"/>
              <w:keepLines w:val="0"/>
              <w:pageBreakBefore w:val="0"/>
              <w:widowControl w:val="0"/>
              <w:kinsoku/>
              <w:wordWrap/>
              <w:overflowPunct/>
              <w:topLinePunct w:val="0"/>
              <w:bidi w:val="0"/>
              <w:spacing w:line="400" w:lineRule="exact"/>
              <w:ind w:left="0" w:leftChars="0" w:firstLine="0" w:firstLineChars="0"/>
              <w:jc w:val="center"/>
              <w:rPr>
                <w:rFonts w:hint="default" w:ascii="Times New Roman" w:hAnsi="Times New Roman" w:eastAsia="宋体" w:cs="Times New Roman"/>
                <w:kern w:val="0"/>
                <w:sz w:val="21"/>
                <w:szCs w:val="21"/>
                <w:highlight w:val="none"/>
                <w:u w:val="none"/>
                <w:lang w:val="en-US" w:eastAsia="zh-CN" w:bidi="ar-SA"/>
              </w:rPr>
            </w:pPr>
            <w:r>
              <w:rPr>
                <w:rFonts w:hint="eastAsia" w:ascii="Times New Roman" w:cs="Times New Roman"/>
                <w:kern w:val="0"/>
                <w:sz w:val="21"/>
                <w:szCs w:val="21"/>
                <w:highlight w:val="none"/>
                <w:u w:val="none"/>
                <w:lang w:val="en-US" w:eastAsia="zh-CN" w:bidi="ar-SA"/>
              </w:rPr>
              <w:t>4回</w:t>
            </w:r>
          </w:p>
        </w:tc>
        <w:tc>
          <w:tcPr>
            <w:tcW w:w="767" w:type="pct"/>
            <w:noWrap w:val="0"/>
            <w:vAlign w:val="center"/>
          </w:tcPr>
          <w:p w14:paraId="7CC7CAF3">
            <w:pPr>
              <w:pageBreakBefore w:val="0"/>
              <w:kinsoku/>
              <w:wordWrap/>
              <w:topLinePunct w:val="0"/>
              <w:bidi w:val="0"/>
              <w:spacing w:line="360" w:lineRule="auto"/>
              <w:ind w:firstLine="0" w:firstLineChars="0"/>
              <w:jc w:val="center"/>
              <w:rPr>
                <w:sz w:val="21"/>
                <w:szCs w:val="21"/>
                <w:highlight w:val="none"/>
                <w:u w:val="none"/>
              </w:rPr>
            </w:pPr>
            <w:r>
              <w:rPr>
                <w:rFonts w:hint="eastAsia"/>
                <w:sz w:val="21"/>
                <w:szCs w:val="21"/>
                <w:u w:val="none"/>
                <w:lang w:val="en-US" w:eastAsia="zh-CN"/>
              </w:rPr>
              <w:t>相似</w:t>
            </w:r>
          </w:p>
        </w:tc>
      </w:tr>
      <w:tr w14:paraId="01F50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33AA036D">
            <w:pPr>
              <w:pageBreakBefore w:val="0"/>
              <w:kinsoku/>
              <w:wordWrap/>
              <w:topLinePunct w:val="0"/>
              <w:bidi w:val="0"/>
              <w:spacing w:line="360" w:lineRule="auto"/>
              <w:ind w:firstLine="0" w:firstLineChars="0"/>
              <w:jc w:val="center"/>
              <w:rPr>
                <w:sz w:val="21"/>
                <w:szCs w:val="21"/>
                <w:highlight w:val="none"/>
                <w:u w:val="none"/>
              </w:rPr>
            </w:pPr>
            <w:r>
              <w:rPr>
                <w:rFonts w:hint="eastAsia"/>
                <w:sz w:val="21"/>
                <w:szCs w:val="21"/>
                <w:highlight w:val="none"/>
                <w:u w:val="none"/>
                <w:lang w:val="en-US" w:eastAsia="zh-CN"/>
              </w:rPr>
              <w:t>110kV出线回数</w:t>
            </w:r>
          </w:p>
        </w:tc>
        <w:tc>
          <w:tcPr>
            <w:tcW w:w="1351" w:type="pct"/>
            <w:noWrap w:val="0"/>
            <w:vAlign w:val="center"/>
          </w:tcPr>
          <w:p w14:paraId="78A94E2D">
            <w:pPr>
              <w:pageBreakBefore w:val="0"/>
              <w:kinsoku/>
              <w:wordWrap/>
              <w:topLinePunct w:val="0"/>
              <w:bidi w:val="0"/>
              <w:spacing w:line="360" w:lineRule="auto"/>
              <w:ind w:firstLine="0" w:firstLineChars="0"/>
              <w:jc w:val="center"/>
              <w:rPr>
                <w:bCs/>
                <w:sz w:val="21"/>
                <w:szCs w:val="21"/>
                <w:highlight w:val="none"/>
                <w:u w:val="none"/>
              </w:rPr>
            </w:pPr>
            <w:r>
              <w:rPr>
                <w:rFonts w:hint="eastAsia" w:ascii="CIDFont+F3" w:hAnsi="CIDFont+F3" w:eastAsia="CIDFont+F3"/>
                <w:sz w:val="21"/>
                <w:szCs w:val="21"/>
                <w:highlight w:val="none"/>
                <w:u w:val="none"/>
              </w:rPr>
              <w:t>11</w:t>
            </w:r>
            <w:r>
              <w:rPr>
                <w:rFonts w:hint="eastAsia" w:ascii="CIDFont+F1" w:hAnsi="CIDFont+F1" w:eastAsia="CIDFont+F1"/>
                <w:sz w:val="21"/>
                <w:szCs w:val="21"/>
                <w:highlight w:val="none"/>
                <w:u w:val="none"/>
              </w:rPr>
              <w:t>回（在建</w:t>
            </w:r>
            <w:r>
              <w:rPr>
                <w:rFonts w:hint="eastAsia" w:ascii="CIDFont+F3" w:hAnsi="CIDFont+F3" w:eastAsia="CIDFont+F3"/>
                <w:sz w:val="21"/>
                <w:szCs w:val="21"/>
                <w:highlight w:val="none"/>
                <w:u w:val="none"/>
              </w:rPr>
              <w:t>1</w:t>
            </w:r>
            <w:r>
              <w:rPr>
                <w:rFonts w:hint="eastAsia" w:ascii="CIDFont+F1" w:hAnsi="CIDFont+F1" w:eastAsia="CIDFont+F1"/>
                <w:sz w:val="21"/>
                <w:szCs w:val="21"/>
                <w:highlight w:val="none"/>
                <w:u w:val="none"/>
              </w:rPr>
              <w:t>回）</w:t>
            </w:r>
          </w:p>
        </w:tc>
        <w:tc>
          <w:tcPr>
            <w:tcW w:w="1596" w:type="pct"/>
            <w:noWrap w:val="0"/>
            <w:vAlign w:val="center"/>
          </w:tcPr>
          <w:p w14:paraId="24E2DD09">
            <w:pPr>
              <w:pageBreakBefore w:val="0"/>
              <w:kinsoku/>
              <w:wordWrap/>
              <w:topLinePunct w:val="0"/>
              <w:bidi w:val="0"/>
              <w:spacing w:line="360" w:lineRule="auto"/>
              <w:ind w:firstLine="0" w:firstLineChars="0"/>
              <w:jc w:val="center"/>
              <w:rPr>
                <w:rFonts w:hint="default"/>
                <w:bCs/>
                <w:sz w:val="21"/>
                <w:szCs w:val="21"/>
                <w:highlight w:val="none"/>
                <w:u w:val="none"/>
                <w:lang w:val="en-US"/>
              </w:rPr>
            </w:pPr>
            <w:r>
              <w:rPr>
                <w:rFonts w:hint="eastAsia" w:cs="Times New Roman"/>
                <w:kern w:val="0"/>
                <w:sz w:val="21"/>
                <w:szCs w:val="21"/>
                <w:highlight w:val="none"/>
                <w:u w:val="none"/>
                <w:lang w:val="en-US" w:eastAsia="zh-CN" w:bidi="ar-SA"/>
              </w:rPr>
              <w:t>8回</w:t>
            </w:r>
          </w:p>
        </w:tc>
        <w:tc>
          <w:tcPr>
            <w:tcW w:w="767" w:type="pct"/>
            <w:noWrap w:val="0"/>
            <w:vAlign w:val="center"/>
          </w:tcPr>
          <w:p w14:paraId="6F74137D">
            <w:pPr>
              <w:pageBreakBefore w:val="0"/>
              <w:kinsoku/>
              <w:wordWrap/>
              <w:topLinePunct w:val="0"/>
              <w:bidi w:val="0"/>
              <w:spacing w:line="360" w:lineRule="auto"/>
              <w:ind w:firstLine="0" w:firstLineChars="0"/>
              <w:jc w:val="center"/>
              <w:rPr>
                <w:rFonts w:hint="eastAsia"/>
                <w:bCs/>
                <w:sz w:val="21"/>
                <w:szCs w:val="21"/>
                <w:highlight w:val="none"/>
                <w:u w:val="none"/>
              </w:rPr>
            </w:pPr>
            <w:r>
              <w:rPr>
                <w:rFonts w:hint="eastAsia"/>
                <w:sz w:val="21"/>
                <w:szCs w:val="21"/>
                <w:u w:val="none"/>
                <w:lang w:val="en-US" w:eastAsia="zh-CN"/>
              </w:rPr>
              <w:t>相似</w:t>
            </w:r>
          </w:p>
        </w:tc>
      </w:tr>
      <w:tr w14:paraId="3D63D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84" w:type="pct"/>
            <w:noWrap w:val="0"/>
            <w:vAlign w:val="center"/>
          </w:tcPr>
          <w:p w14:paraId="1E5D6131">
            <w:pPr>
              <w:pageBreakBefore w:val="0"/>
              <w:kinsoku/>
              <w:wordWrap/>
              <w:topLinePunct w:val="0"/>
              <w:bidi w:val="0"/>
              <w:spacing w:line="360" w:lineRule="auto"/>
              <w:ind w:firstLine="0" w:firstLineChars="0"/>
              <w:jc w:val="center"/>
              <w:rPr>
                <w:rFonts w:hint="default"/>
                <w:sz w:val="21"/>
                <w:szCs w:val="21"/>
                <w:u w:val="none"/>
                <w:lang w:val="en-US" w:eastAsia="zh-CN"/>
              </w:rPr>
            </w:pPr>
            <w:r>
              <w:rPr>
                <w:rFonts w:hint="eastAsia"/>
                <w:sz w:val="21"/>
                <w:szCs w:val="21"/>
                <w:u w:val="none"/>
                <w:lang w:val="en-US" w:eastAsia="zh-CN"/>
              </w:rPr>
              <w:t>占地面积</w:t>
            </w:r>
            <w:r>
              <w:rPr>
                <w:rFonts w:hint="eastAsia"/>
                <w:color w:val="auto"/>
                <w:sz w:val="21"/>
                <w:szCs w:val="21"/>
                <w:highlight w:val="none"/>
                <w:u w:val="none"/>
              </w:rPr>
              <w:t>（</w:t>
            </w:r>
            <w:r>
              <w:rPr>
                <w:color w:val="auto"/>
                <w:sz w:val="21"/>
                <w:szCs w:val="21"/>
                <w:highlight w:val="none"/>
                <w:u w:val="none"/>
              </w:rPr>
              <w:t>hm</w:t>
            </w:r>
            <w:r>
              <w:rPr>
                <w:color w:val="auto"/>
                <w:sz w:val="21"/>
                <w:szCs w:val="21"/>
                <w:highlight w:val="none"/>
                <w:u w:val="none"/>
                <w:vertAlign w:val="superscript"/>
              </w:rPr>
              <w:t>2</w:t>
            </w:r>
            <w:r>
              <w:rPr>
                <w:rFonts w:hint="eastAsia"/>
                <w:color w:val="auto"/>
                <w:sz w:val="21"/>
                <w:szCs w:val="21"/>
                <w:highlight w:val="none"/>
                <w:u w:val="none"/>
              </w:rPr>
              <w:t>）</w:t>
            </w:r>
          </w:p>
        </w:tc>
        <w:tc>
          <w:tcPr>
            <w:tcW w:w="1351" w:type="pct"/>
            <w:noWrap w:val="0"/>
            <w:vAlign w:val="center"/>
          </w:tcPr>
          <w:p w14:paraId="36CB98D5">
            <w:pPr>
              <w:pageBreakBefore w:val="0"/>
              <w:kinsoku/>
              <w:wordWrap/>
              <w:topLinePunct w:val="0"/>
              <w:bidi w:val="0"/>
              <w:spacing w:line="360" w:lineRule="auto"/>
              <w:ind w:firstLine="0" w:firstLineChars="0"/>
              <w:jc w:val="center"/>
              <w:rPr>
                <w:rFonts w:hint="default" w:eastAsia="宋体"/>
                <w:bCs/>
                <w:sz w:val="21"/>
                <w:szCs w:val="21"/>
                <w:u w:val="none"/>
                <w:lang w:val="en-US" w:eastAsia="zh-CN"/>
              </w:rPr>
            </w:pPr>
            <w:r>
              <w:rPr>
                <w:rFonts w:hint="eastAsia"/>
                <w:bCs/>
                <w:sz w:val="21"/>
                <w:szCs w:val="21"/>
                <w:u w:val="none"/>
                <w:lang w:val="en-US" w:eastAsia="zh-CN"/>
              </w:rPr>
              <w:t>2.29</w:t>
            </w:r>
          </w:p>
        </w:tc>
        <w:tc>
          <w:tcPr>
            <w:tcW w:w="1596" w:type="pct"/>
            <w:noWrap w:val="0"/>
            <w:vAlign w:val="center"/>
          </w:tcPr>
          <w:p w14:paraId="275FFCF8">
            <w:pPr>
              <w:pageBreakBefore w:val="0"/>
              <w:kinsoku/>
              <w:wordWrap/>
              <w:topLinePunct w:val="0"/>
              <w:bidi w:val="0"/>
              <w:spacing w:line="360" w:lineRule="auto"/>
              <w:ind w:firstLine="0" w:firstLineChars="0"/>
              <w:jc w:val="center"/>
              <w:rPr>
                <w:rFonts w:hint="default" w:eastAsia="宋体"/>
                <w:bCs/>
                <w:sz w:val="21"/>
                <w:szCs w:val="21"/>
                <w:u w:val="none"/>
                <w:lang w:val="en-US" w:eastAsia="zh-CN"/>
              </w:rPr>
            </w:pPr>
            <w:r>
              <w:rPr>
                <w:rFonts w:hint="eastAsia" w:ascii="Times New Roman" w:hAnsi="Times New Roman" w:eastAsia="宋体" w:cs="Times New Roman"/>
                <w:color w:val="auto"/>
                <w:kern w:val="0"/>
                <w:sz w:val="21"/>
                <w:szCs w:val="21"/>
                <w:highlight w:val="none"/>
                <w:u w:val="none"/>
                <w:lang w:val="en-US" w:eastAsia="zh-CN"/>
              </w:rPr>
              <w:t>3.13</w:t>
            </w:r>
          </w:p>
        </w:tc>
        <w:tc>
          <w:tcPr>
            <w:tcW w:w="767" w:type="pct"/>
            <w:noWrap w:val="0"/>
            <w:vAlign w:val="center"/>
          </w:tcPr>
          <w:p w14:paraId="1FB96D5A">
            <w:pPr>
              <w:pageBreakBefore w:val="0"/>
              <w:kinsoku/>
              <w:wordWrap/>
              <w:topLinePunct w:val="0"/>
              <w:bidi w:val="0"/>
              <w:spacing w:line="360" w:lineRule="auto"/>
              <w:ind w:firstLine="0" w:firstLineChars="0"/>
              <w:jc w:val="center"/>
              <w:rPr>
                <w:rFonts w:hint="default"/>
                <w:bCs/>
                <w:sz w:val="21"/>
                <w:szCs w:val="21"/>
                <w:u w:val="none"/>
                <w:lang w:val="en-US"/>
              </w:rPr>
            </w:pPr>
            <w:r>
              <w:rPr>
                <w:rFonts w:hint="eastAsia"/>
                <w:sz w:val="21"/>
                <w:szCs w:val="21"/>
                <w:u w:val="none"/>
                <w:lang w:val="en-US" w:eastAsia="zh-CN"/>
              </w:rPr>
              <w:t>相似</w:t>
            </w:r>
          </w:p>
        </w:tc>
      </w:tr>
    </w:tbl>
    <w:p w14:paraId="5195A75A">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sz w:val="24"/>
          <w:u w:val="none"/>
        </w:rPr>
      </w:pPr>
      <w:r>
        <w:rPr>
          <w:rFonts w:hint="eastAsia" w:ascii="Times New Roman" w:hAnsi="Times New Roman" w:eastAsia="宋体" w:cs="Times New Roman"/>
          <w:bCs/>
          <w:sz w:val="24"/>
          <w:u w:val="none"/>
        </w:rPr>
        <w:t>本项目与类比对象</w:t>
      </w:r>
      <w:bookmarkStart w:id="194" w:name="_Hlk173676205"/>
      <w:r>
        <w:rPr>
          <w:rFonts w:hint="eastAsia" w:ascii="Times New Roman" w:hAnsi="Times New Roman" w:eastAsia="宋体" w:cs="Times New Roman"/>
          <w:bCs/>
          <w:sz w:val="24"/>
          <w:u w:val="none"/>
        </w:rPr>
        <w:t>220kV</w:t>
      </w:r>
      <w:r>
        <w:rPr>
          <w:rFonts w:hint="eastAsia" w:ascii="Times New Roman" w:hAnsi="Times New Roman" w:eastAsia="宋体" w:cs="Times New Roman"/>
          <w:bCs/>
          <w:sz w:val="24"/>
          <w:u w:val="none"/>
          <w:lang w:val="en-US" w:eastAsia="zh-CN"/>
        </w:rPr>
        <w:t>里明变电站</w:t>
      </w:r>
      <w:r>
        <w:rPr>
          <w:rFonts w:hint="eastAsia" w:ascii="Times New Roman" w:hAnsi="Times New Roman" w:eastAsia="宋体" w:cs="Times New Roman"/>
          <w:bCs/>
          <w:sz w:val="24"/>
          <w:u w:val="none"/>
        </w:rPr>
        <w:t>电压等级</w:t>
      </w:r>
      <w:r>
        <w:rPr>
          <w:rFonts w:hint="eastAsia" w:ascii="Times New Roman" w:hAnsi="Times New Roman" w:eastAsia="宋体" w:cs="Times New Roman"/>
          <w:bCs/>
          <w:sz w:val="24"/>
          <w:u w:val="none"/>
          <w:lang w:eastAsia="zh-CN"/>
        </w:rPr>
        <w:t>、</w:t>
      </w:r>
      <w:r>
        <w:rPr>
          <w:rFonts w:hint="eastAsia" w:ascii="Times New Roman" w:hAnsi="Times New Roman" w:eastAsia="宋体" w:cs="Times New Roman"/>
          <w:bCs/>
          <w:sz w:val="24"/>
          <w:u w:val="none"/>
        </w:rPr>
        <w:t>主变规模、主变布置形式</w:t>
      </w:r>
      <w:r>
        <w:rPr>
          <w:rFonts w:hint="eastAsia" w:ascii="Times New Roman" w:hAnsi="Times New Roman" w:eastAsia="宋体" w:cs="Times New Roman"/>
          <w:bCs/>
          <w:sz w:val="24"/>
          <w:u w:val="none"/>
          <w:lang w:eastAsia="zh-CN"/>
        </w:rPr>
        <w:t>、</w:t>
      </w:r>
      <w:r>
        <w:rPr>
          <w:rFonts w:hint="eastAsia" w:ascii="Times New Roman" w:hAnsi="Times New Roman" w:eastAsia="宋体" w:cs="Times New Roman"/>
          <w:bCs/>
          <w:sz w:val="24"/>
          <w:u w:val="none"/>
          <w:lang w:val="en-US" w:eastAsia="zh-CN"/>
        </w:rPr>
        <w:t>环境条件</w:t>
      </w:r>
      <w:r>
        <w:rPr>
          <w:rFonts w:hint="eastAsia" w:ascii="Times New Roman" w:hAnsi="Times New Roman" w:eastAsia="宋体" w:cs="Times New Roman"/>
          <w:bCs/>
          <w:sz w:val="24"/>
          <w:u w:val="none"/>
        </w:rPr>
        <w:t>相同，</w:t>
      </w:r>
      <w:r>
        <w:rPr>
          <w:rFonts w:hint="eastAsia" w:ascii="Times New Roman" w:hAnsi="Times New Roman" w:eastAsia="宋体" w:cs="Times New Roman"/>
          <w:bCs/>
          <w:sz w:val="24"/>
          <w:u w:val="none"/>
          <w:lang w:val="en-US" w:eastAsia="zh-CN"/>
        </w:rPr>
        <w:t>出线回数和面积</w:t>
      </w:r>
      <w:r>
        <w:rPr>
          <w:rFonts w:hint="eastAsia" w:ascii="Times New Roman" w:hAnsi="Times New Roman" w:eastAsia="宋体" w:cs="Times New Roman"/>
          <w:bCs/>
          <w:sz w:val="24"/>
          <w:u w:val="none"/>
        </w:rPr>
        <w:t>相似，</w:t>
      </w:r>
      <w:bookmarkEnd w:id="194"/>
      <w:r>
        <w:rPr>
          <w:rFonts w:hint="eastAsia" w:ascii="Times New Roman" w:hAnsi="Times New Roman" w:eastAsia="宋体" w:cs="Times New Roman"/>
          <w:bCs/>
          <w:sz w:val="24"/>
          <w:u w:val="none"/>
        </w:rPr>
        <w:t>监测期间变电站所有电气设备运行工况正常，故本次评价将220kV</w:t>
      </w:r>
      <w:r>
        <w:rPr>
          <w:rFonts w:hint="eastAsia" w:ascii="Times New Roman" w:hAnsi="Times New Roman" w:eastAsia="宋体" w:cs="Times New Roman"/>
          <w:bCs/>
          <w:sz w:val="24"/>
          <w:u w:val="none"/>
          <w:lang w:val="en-US" w:eastAsia="zh-CN"/>
        </w:rPr>
        <w:t>里明变电站</w:t>
      </w:r>
      <w:r>
        <w:rPr>
          <w:rFonts w:hint="eastAsia" w:ascii="Times New Roman" w:hAnsi="Times New Roman" w:eastAsia="宋体" w:cs="Times New Roman"/>
          <w:bCs/>
          <w:sz w:val="24"/>
          <w:u w:val="none"/>
        </w:rPr>
        <w:t>作为本项目变电站类比对象是可行的。</w:t>
      </w:r>
    </w:p>
    <w:p w14:paraId="3BD7B9DB">
      <w:pPr>
        <w:pStyle w:val="10"/>
        <w:rPr>
          <w:rFonts w:ascii="Times New Roman" w:hAnsi="Times New Roman"/>
          <w:bCs/>
          <w:sz w:val="24"/>
          <w:szCs w:val="24"/>
          <w:u w:val="none"/>
        </w:rPr>
      </w:pPr>
      <w:r>
        <w:rPr>
          <w:rFonts w:ascii="Times New Roman" w:hAnsi="Times New Roman"/>
          <w:bCs/>
          <w:sz w:val="24"/>
          <w:szCs w:val="24"/>
          <w:u w:val="none"/>
        </w:rPr>
        <w:t>2.2.1.2类比监测及监测结果分析</w:t>
      </w:r>
    </w:p>
    <w:p w14:paraId="6E475DED">
      <w:pPr>
        <w:pStyle w:val="10"/>
        <w:ind w:firstLine="480" w:firstLineChars="200"/>
        <w:rPr>
          <w:rFonts w:ascii="Times New Roman" w:hAnsi="Times New Roman"/>
          <w:sz w:val="24"/>
          <w:szCs w:val="24"/>
          <w:u w:val="none"/>
        </w:rPr>
      </w:pPr>
      <w:r>
        <w:rPr>
          <w:rFonts w:ascii="Times New Roman" w:hAnsi="Times New Roman"/>
          <w:sz w:val="24"/>
          <w:szCs w:val="24"/>
          <w:u w:val="none"/>
        </w:rPr>
        <w:t>a）监测项目</w:t>
      </w:r>
    </w:p>
    <w:p w14:paraId="716C9DE8">
      <w:pPr>
        <w:pStyle w:val="10"/>
        <w:ind w:firstLine="480" w:firstLineChars="200"/>
        <w:rPr>
          <w:rFonts w:ascii="Times New Roman" w:hAnsi="Times New Roman"/>
          <w:sz w:val="24"/>
          <w:szCs w:val="24"/>
          <w:u w:val="none"/>
        </w:rPr>
      </w:pPr>
      <w:r>
        <w:rPr>
          <w:rFonts w:ascii="Times New Roman" w:hAnsi="Times New Roman"/>
          <w:sz w:val="24"/>
          <w:szCs w:val="24"/>
          <w:u w:val="none"/>
        </w:rPr>
        <w:t>工频电场、工频磁场。</w:t>
      </w:r>
    </w:p>
    <w:p w14:paraId="673F1512">
      <w:pPr>
        <w:pStyle w:val="10"/>
        <w:ind w:firstLine="480" w:firstLineChars="200"/>
        <w:rPr>
          <w:rFonts w:ascii="Times New Roman" w:hAnsi="Times New Roman"/>
          <w:sz w:val="24"/>
          <w:szCs w:val="24"/>
          <w:u w:val="none"/>
        </w:rPr>
      </w:pPr>
      <w:r>
        <w:rPr>
          <w:rFonts w:ascii="Times New Roman" w:hAnsi="Times New Roman"/>
          <w:sz w:val="24"/>
          <w:szCs w:val="24"/>
          <w:u w:val="none"/>
        </w:rPr>
        <w:t>b）监测点位</w:t>
      </w:r>
    </w:p>
    <w:p w14:paraId="72C606AF">
      <w:pPr>
        <w:pStyle w:val="6"/>
        <w:pageBreakBefore w:val="0"/>
        <w:kinsoku/>
        <w:wordWrap/>
        <w:overflowPunct/>
        <w:topLinePunct w:val="0"/>
        <w:autoSpaceDE/>
        <w:autoSpaceDN/>
        <w:bidi w:val="0"/>
        <w:adjustRightInd/>
        <w:snapToGrid/>
        <w:spacing w:line="360" w:lineRule="auto"/>
        <w:ind w:firstLine="480" w:firstLineChars="200"/>
        <w:textAlignment w:val="auto"/>
        <w:rPr>
          <w:bCs/>
          <w:sz w:val="24"/>
          <w:szCs w:val="24"/>
          <w:u w:val="none"/>
        </w:rPr>
      </w:pPr>
      <w:r>
        <w:rPr>
          <w:rFonts w:hint="eastAsia"/>
          <w:bCs/>
          <w:sz w:val="24"/>
          <w:u w:val="none"/>
        </w:rPr>
        <w:t>监测布点：在220kV</w:t>
      </w:r>
      <w:r>
        <w:rPr>
          <w:rFonts w:hint="eastAsia"/>
          <w:bCs/>
          <w:sz w:val="24"/>
          <w:u w:val="none"/>
          <w:lang w:val="en-US" w:eastAsia="zh-CN"/>
        </w:rPr>
        <w:t>里明</w:t>
      </w:r>
      <w:r>
        <w:rPr>
          <w:rFonts w:hint="eastAsia"/>
          <w:bCs/>
          <w:sz w:val="24"/>
          <w:u w:val="none"/>
        </w:rPr>
        <w:t>变电站厂界布设</w:t>
      </w:r>
      <w:r>
        <w:rPr>
          <w:rFonts w:hint="eastAsia"/>
          <w:bCs/>
          <w:sz w:val="24"/>
          <w:u w:val="none"/>
          <w:lang w:val="en-US" w:eastAsia="zh-CN"/>
        </w:rPr>
        <w:t>8</w:t>
      </w:r>
      <w:r>
        <w:rPr>
          <w:rFonts w:hint="eastAsia"/>
          <w:bCs/>
          <w:sz w:val="24"/>
          <w:u w:val="none"/>
        </w:rPr>
        <w:t>个电磁环境监测点，</w:t>
      </w:r>
      <w:r>
        <w:rPr>
          <w:rFonts w:hint="default" w:ascii="Times New Roman" w:hAnsi="Times New Roman" w:eastAsia="宋体" w:cs="Times New Roman"/>
          <w:color w:val="auto"/>
          <w:sz w:val="24"/>
          <w:szCs w:val="24"/>
          <w:u w:val="none"/>
        </w:rPr>
        <w:t>监测点位于围墙外5m处。</w:t>
      </w:r>
    </w:p>
    <w:p w14:paraId="22339D96">
      <w:pPr>
        <w:pStyle w:val="10"/>
        <w:ind w:firstLine="480" w:firstLineChars="200"/>
        <w:jc w:val="left"/>
        <w:rPr>
          <w:rFonts w:ascii="Times New Roman" w:hAnsi="Times New Roman"/>
          <w:sz w:val="24"/>
          <w:szCs w:val="24"/>
          <w:u w:val="none"/>
        </w:rPr>
      </w:pPr>
      <w:r>
        <w:rPr>
          <w:rFonts w:hint="eastAsia"/>
          <w:bCs/>
          <w:sz w:val="24"/>
          <w:u w:val="none"/>
        </w:rPr>
        <w:t>220kV</w:t>
      </w:r>
      <w:r>
        <w:rPr>
          <w:rFonts w:hint="eastAsia"/>
          <w:bCs/>
          <w:sz w:val="24"/>
          <w:u w:val="none"/>
          <w:lang w:val="en-US" w:eastAsia="zh-CN"/>
        </w:rPr>
        <w:t>里明</w:t>
      </w:r>
      <w:r>
        <w:rPr>
          <w:rFonts w:hint="eastAsia"/>
          <w:bCs/>
          <w:sz w:val="24"/>
          <w:u w:val="none"/>
        </w:rPr>
        <w:t>变电站</w:t>
      </w:r>
      <w:r>
        <w:rPr>
          <w:sz w:val="24"/>
          <w:szCs w:val="24"/>
          <w:u w:val="none"/>
        </w:rPr>
        <w:t>类比监测点布设详见下图。</w:t>
      </w:r>
      <w:r>
        <w:rPr>
          <w:u w:val="none"/>
        </w:rPr>
        <w:drawing>
          <wp:inline distT="0" distB="0" distL="114300" distR="114300">
            <wp:extent cx="5755640" cy="2745105"/>
            <wp:effectExtent l="0" t="0" r="508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5755640" cy="2745105"/>
                    </a:xfrm>
                    <a:prstGeom prst="rect">
                      <a:avLst/>
                    </a:prstGeom>
                    <a:noFill/>
                    <a:ln>
                      <a:noFill/>
                    </a:ln>
                  </pic:spPr>
                </pic:pic>
              </a:graphicData>
            </a:graphic>
          </wp:inline>
        </w:drawing>
      </w:r>
    </w:p>
    <w:p w14:paraId="732EB1C7">
      <w:pPr>
        <w:jc w:val="center"/>
        <w:rPr>
          <w:b/>
          <w:bCs w:val="0"/>
          <w:u w:val="none"/>
        </w:rPr>
      </w:pPr>
      <w:r>
        <w:rPr>
          <w:b/>
          <w:bCs w:val="0"/>
          <w:u w:val="none"/>
        </w:rPr>
        <w:t>图2.2-1</w:t>
      </w:r>
      <w:r>
        <w:rPr>
          <w:rFonts w:hint="eastAsia"/>
          <w:b/>
          <w:bCs w:val="0"/>
          <w:u w:val="none"/>
          <w:lang w:val="en-US" w:eastAsia="zh-CN"/>
        </w:rPr>
        <w:t xml:space="preserve"> </w:t>
      </w:r>
      <w:r>
        <w:rPr>
          <w:rFonts w:hint="eastAsia"/>
          <w:b/>
          <w:bCs w:val="0"/>
          <w:sz w:val="24"/>
          <w:u w:val="none"/>
        </w:rPr>
        <w:t>220kV</w:t>
      </w:r>
      <w:r>
        <w:rPr>
          <w:rFonts w:hint="eastAsia"/>
          <w:b/>
          <w:bCs w:val="0"/>
          <w:sz w:val="24"/>
          <w:u w:val="none"/>
          <w:lang w:val="en-US" w:eastAsia="zh-CN"/>
        </w:rPr>
        <w:t>里明</w:t>
      </w:r>
      <w:r>
        <w:rPr>
          <w:rFonts w:hint="eastAsia"/>
          <w:b/>
          <w:bCs w:val="0"/>
          <w:sz w:val="24"/>
          <w:u w:val="none"/>
        </w:rPr>
        <w:t>变电站</w:t>
      </w:r>
      <w:r>
        <w:rPr>
          <w:b/>
          <w:bCs w:val="0"/>
          <w:u w:val="none"/>
        </w:rPr>
        <w:t>监测点位示意图</w:t>
      </w:r>
    </w:p>
    <w:p w14:paraId="5B98F07F">
      <w:pPr>
        <w:ind w:firstLine="480"/>
        <w:rPr>
          <w:u w:val="none"/>
        </w:rPr>
      </w:pPr>
      <w:r>
        <w:rPr>
          <w:u w:val="none"/>
        </w:rPr>
        <w:t>c）监测方法</w:t>
      </w:r>
    </w:p>
    <w:p w14:paraId="5B6604CC">
      <w:pPr>
        <w:ind w:firstLine="480"/>
        <w:rPr>
          <w:u w:val="none"/>
        </w:rPr>
      </w:pPr>
      <w:r>
        <w:rPr>
          <w:u w:val="none"/>
        </w:rPr>
        <w:t>工频电场、工频磁场监测按《交流输变电工程电磁环境监测方法（试行）》（HJ681—2013）中推荐的方法进行。中推荐的方法进行。</w:t>
      </w:r>
    </w:p>
    <w:p w14:paraId="4A0F2F96">
      <w:pPr>
        <w:ind w:firstLine="480"/>
        <w:rPr>
          <w:u w:val="none"/>
        </w:rPr>
      </w:pPr>
      <w:r>
        <w:rPr>
          <w:u w:val="none"/>
        </w:rPr>
        <w:t>d）监测时间</w:t>
      </w:r>
      <w:r>
        <w:rPr>
          <w:rFonts w:hint="eastAsia"/>
          <w:u w:val="none"/>
          <w:lang w:eastAsia="zh-CN"/>
        </w:rPr>
        <w:t>、</w:t>
      </w:r>
      <w:r>
        <w:rPr>
          <w:rFonts w:hint="eastAsia"/>
          <w:u w:val="none"/>
          <w:lang w:val="en-US" w:eastAsia="zh-CN"/>
        </w:rPr>
        <w:t>工况及</w:t>
      </w:r>
      <w:r>
        <w:rPr>
          <w:u w:val="none"/>
        </w:rPr>
        <w:t>环境条件</w:t>
      </w:r>
    </w:p>
    <w:p w14:paraId="4FD96083">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bCs/>
          <w:sz w:val="24"/>
          <w:u w:val="none"/>
          <w:lang w:val="en-US" w:eastAsia="zh-CN"/>
        </w:rPr>
      </w:pPr>
      <w:r>
        <w:rPr>
          <w:rFonts w:hint="eastAsia"/>
          <w:bCs/>
          <w:sz w:val="24"/>
          <w:u w:val="none"/>
        </w:rPr>
        <w:t>监测单位：</w:t>
      </w:r>
      <w:r>
        <w:rPr>
          <w:rFonts w:hint="default" w:ascii="Times New Roman" w:hAnsi="Times New Roman" w:eastAsia="宋体" w:cs="Times New Roman"/>
          <w:sz w:val="24"/>
          <w:u w:val="none"/>
        </w:rPr>
        <w:t>广西水电科学研究院有限公司特立资源与环境检测分公司</w:t>
      </w:r>
    </w:p>
    <w:p w14:paraId="7D96D4D4">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bCs/>
          <w:sz w:val="24"/>
          <w:u w:val="none"/>
        </w:rPr>
      </w:pPr>
      <w:r>
        <w:rPr>
          <w:rFonts w:hint="eastAsia"/>
          <w:bCs/>
          <w:sz w:val="24"/>
          <w:u w:val="none"/>
        </w:rPr>
        <w:t>监测时间：</w:t>
      </w:r>
      <w:r>
        <w:rPr>
          <w:rFonts w:hint="eastAsia"/>
          <w:bCs/>
          <w:sz w:val="24"/>
          <w:highlight w:val="none"/>
          <w:u w:val="none"/>
        </w:rPr>
        <w:t>20</w:t>
      </w:r>
      <w:r>
        <w:rPr>
          <w:rFonts w:hint="eastAsia"/>
          <w:bCs/>
          <w:sz w:val="24"/>
          <w:highlight w:val="none"/>
          <w:u w:val="none"/>
          <w:lang w:val="en-US" w:eastAsia="zh-CN"/>
        </w:rPr>
        <w:t>25年1月15日—2025年1月16</w:t>
      </w:r>
      <w:r>
        <w:rPr>
          <w:rFonts w:hint="eastAsia"/>
          <w:bCs/>
          <w:sz w:val="24"/>
          <w:highlight w:val="none"/>
          <w:u w:val="none"/>
        </w:rPr>
        <w:t>日</w:t>
      </w:r>
    </w:p>
    <w:p w14:paraId="55F0C982">
      <w:pPr>
        <w:rPr>
          <w:u w:val="none"/>
        </w:rPr>
      </w:pPr>
      <w:r>
        <w:rPr>
          <w:u w:val="none"/>
        </w:rPr>
        <w:br w:type="page"/>
      </w:r>
    </w:p>
    <w:p w14:paraId="42EC582F">
      <w:pPr>
        <w:ind w:firstLine="480"/>
        <w:rPr>
          <w:u w:val="none"/>
        </w:rPr>
      </w:pPr>
      <w:r>
        <w:rPr>
          <w:u w:val="none"/>
        </w:rPr>
        <w:t>气象条件</w:t>
      </w:r>
      <w:r>
        <w:rPr>
          <w:rFonts w:hint="eastAsia"/>
          <w:u w:val="none"/>
          <w:lang w:val="en-US" w:eastAsia="zh-CN"/>
        </w:rPr>
        <w:t>见下表</w:t>
      </w:r>
      <w:r>
        <w:rPr>
          <w:u w:val="none"/>
        </w:rPr>
        <w:t>：</w:t>
      </w:r>
    </w:p>
    <w:p w14:paraId="22CC56D4">
      <w:pPr>
        <w:pStyle w:val="6"/>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宋体" w:cs="Times New Roman"/>
          <w:b/>
          <w:bCs w:val="0"/>
          <w:sz w:val="24"/>
          <w:u w:val="none"/>
        </w:rPr>
      </w:pPr>
      <w:r>
        <w:rPr>
          <w:rFonts w:hint="eastAsia" w:ascii="Times New Roman" w:hAnsi="Times New Roman" w:eastAsia="宋体" w:cs="Times New Roman"/>
          <w:b/>
          <w:bCs w:val="0"/>
          <w:sz w:val="24"/>
          <w:u w:val="none"/>
          <w:lang w:val="zh-CN"/>
        </w:rPr>
        <w:t>表2</w:t>
      </w:r>
      <w:r>
        <w:rPr>
          <w:rFonts w:hint="eastAsia" w:ascii="Times New Roman" w:hAnsi="Times New Roman" w:eastAsia="宋体" w:cs="Times New Roman"/>
          <w:b/>
          <w:bCs w:val="0"/>
          <w:sz w:val="24"/>
          <w:u w:val="none"/>
        </w:rPr>
        <w:t>.2-</w:t>
      </w:r>
      <w:r>
        <w:rPr>
          <w:rFonts w:hint="eastAsia" w:ascii="Times New Roman" w:hAnsi="Times New Roman" w:eastAsia="宋体" w:cs="Times New Roman"/>
          <w:b/>
          <w:bCs w:val="0"/>
          <w:sz w:val="24"/>
          <w:u w:val="none"/>
          <w:lang w:val="en-US" w:eastAsia="zh-CN"/>
        </w:rPr>
        <w:t>2</w:t>
      </w:r>
      <w:r>
        <w:rPr>
          <w:rFonts w:hint="eastAsia" w:ascii="Times New Roman" w:hAnsi="Times New Roman" w:eastAsia="宋体" w:cs="Times New Roman"/>
          <w:b/>
          <w:bCs w:val="0"/>
          <w:sz w:val="24"/>
          <w:u w:val="none"/>
          <w:lang w:val="zh-CN"/>
        </w:rPr>
        <w:t>监测条件情况一览表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74"/>
        <w:gridCol w:w="752"/>
        <w:gridCol w:w="970"/>
        <w:gridCol w:w="1164"/>
        <w:gridCol w:w="1052"/>
        <w:gridCol w:w="1091"/>
        <w:gridCol w:w="915"/>
      </w:tblGrid>
      <w:tr w14:paraId="2D5F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5" w:type="pct"/>
            <w:gridSpan w:val="2"/>
            <w:tcBorders>
              <w:tl2br w:val="single" w:color="auto" w:sz="4" w:space="0"/>
            </w:tcBorders>
            <w:noWrap w:val="0"/>
            <w:vAlign w:val="center"/>
          </w:tcPr>
          <w:p w14:paraId="33F396B9">
            <w:pPr>
              <w:pStyle w:val="51"/>
              <w:rPr>
                <w:rFonts w:hint="default" w:eastAsia="宋体"/>
                <w:b/>
                <w:bCs/>
                <w:sz w:val="21"/>
                <w:szCs w:val="21"/>
                <w:u w:val="none"/>
              </w:rPr>
            </w:pPr>
            <w:r>
              <w:rPr>
                <w:rFonts w:hint="default" w:eastAsia="宋体"/>
                <w:b/>
                <w:bCs/>
                <w:sz w:val="21"/>
                <w:szCs w:val="21"/>
                <w:u w:val="none"/>
              </w:rPr>
              <w:t xml:space="preserve">            监测内容</w:t>
            </w:r>
          </w:p>
          <w:p w14:paraId="4E12BB99">
            <w:pPr>
              <w:pStyle w:val="51"/>
              <w:jc w:val="both"/>
              <w:rPr>
                <w:rFonts w:hint="default" w:eastAsia="宋体"/>
                <w:b/>
                <w:bCs/>
                <w:sz w:val="21"/>
                <w:szCs w:val="21"/>
                <w:u w:val="none"/>
              </w:rPr>
            </w:pPr>
            <w:r>
              <w:rPr>
                <w:rFonts w:hint="default" w:eastAsia="宋体"/>
                <w:b/>
                <w:bCs/>
                <w:sz w:val="21"/>
                <w:szCs w:val="21"/>
                <w:u w:val="none"/>
              </w:rPr>
              <w:t>监测时段</w:t>
            </w:r>
          </w:p>
        </w:tc>
        <w:tc>
          <w:tcPr>
            <w:tcW w:w="408" w:type="pct"/>
            <w:noWrap w:val="0"/>
            <w:vAlign w:val="center"/>
          </w:tcPr>
          <w:p w14:paraId="11221824">
            <w:pPr>
              <w:pStyle w:val="51"/>
              <w:rPr>
                <w:rFonts w:hint="default" w:eastAsia="宋体"/>
                <w:b/>
                <w:bCs/>
                <w:sz w:val="21"/>
                <w:szCs w:val="21"/>
                <w:u w:val="none"/>
              </w:rPr>
            </w:pPr>
            <w:r>
              <w:rPr>
                <w:rFonts w:hint="default" w:eastAsia="宋体"/>
                <w:b/>
                <w:bCs/>
                <w:sz w:val="21"/>
                <w:szCs w:val="21"/>
                <w:u w:val="none"/>
              </w:rPr>
              <w:t>天气</w:t>
            </w:r>
          </w:p>
        </w:tc>
        <w:tc>
          <w:tcPr>
            <w:tcW w:w="525" w:type="pct"/>
            <w:noWrap w:val="0"/>
            <w:vAlign w:val="center"/>
          </w:tcPr>
          <w:p w14:paraId="48D0AF13">
            <w:pPr>
              <w:pStyle w:val="51"/>
              <w:rPr>
                <w:rFonts w:hint="default" w:eastAsia="宋体"/>
                <w:b/>
                <w:bCs/>
                <w:sz w:val="21"/>
                <w:szCs w:val="21"/>
                <w:u w:val="none"/>
              </w:rPr>
            </w:pPr>
            <w:r>
              <w:rPr>
                <w:rFonts w:hint="default" w:eastAsia="宋体"/>
                <w:b/>
                <w:bCs/>
                <w:sz w:val="21"/>
                <w:szCs w:val="21"/>
                <w:u w:val="none"/>
              </w:rPr>
              <w:t>温度</w:t>
            </w:r>
          </w:p>
          <w:p w14:paraId="358694FC">
            <w:pPr>
              <w:pStyle w:val="51"/>
              <w:rPr>
                <w:rFonts w:hint="default" w:eastAsia="宋体"/>
                <w:b/>
                <w:bCs/>
                <w:sz w:val="21"/>
                <w:szCs w:val="21"/>
                <w:u w:val="none"/>
              </w:rPr>
            </w:pPr>
            <w:r>
              <w:rPr>
                <w:rFonts w:hint="default" w:eastAsia="宋体"/>
                <w:b/>
                <w:bCs/>
                <w:sz w:val="21"/>
                <w:szCs w:val="21"/>
                <w:u w:val="none"/>
              </w:rPr>
              <w:t>（℃）</w:t>
            </w:r>
          </w:p>
        </w:tc>
        <w:tc>
          <w:tcPr>
            <w:tcW w:w="605" w:type="pct"/>
            <w:noWrap w:val="0"/>
            <w:vAlign w:val="center"/>
          </w:tcPr>
          <w:p w14:paraId="00969B7C">
            <w:pPr>
              <w:pStyle w:val="51"/>
              <w:rPr>
                <w:rFonts w:hint="default" w:eastAsia="宋体"/>
                <w:b/>
                <w:bCs/>
                <w:sz w:val="21"/>
                <w:szCs w:val="21"/>
                <w:u w:val="none"/>
              </w:rPr>
            </w:pPr>
            <w:r>
              <w:rPr>
                <w:rFonts w:hint="default" w:eastAsia="宋体"/>
                <w:b/>
                <w:bCs/>
                <w:sz w:val="21"/>
                <w:szCs w:val="21"/>
                <w:u w:val="none"/>
              </w:rPr>
              <w:t>相对湿度（%RH）</w:t>
            </w:r>
          </w:p>
        </w:tc>
        <w:tc>
          <w:tcPr>
            <w:tcW w:w="569" w:type="pct"/>
            <w:noWrap w:val="0"/>
            <w:vAlign w:val="center"/>
          </w:tcPr>
          <w:p w14:paraId="5C897F2A">
            <w:pPr>
              <w:pStyle w:val="51"/>
              <w:rPr>
                <w:rFonts w:hint="default" w:eastAsia="宋体"/>
                <w:b/>
                <w:bCs/>
                <w:sz w:val="21"/>
                <w:szCs w:val="21"/>
                <w:u w:val="none"/>
              </w:rPr>
            </w:pPr>
            <w:r>
              <w:rPr>
                <w:rFonts w:hint="default" w:eastAsia="宋体"/>
                <w:b/>
                <w:bCs/>
                <w:sz w:val="21"/>
                <w:szCs w:val="21"/>
                <w:u w:val="none"/>
              </w:rPr>
              <w:t>气压（kPa）</w:t>
            </w:r>
          </w:p>
        </w:tc>
        <w:tc>
          <w:tcPr>
            <w:tcW w:w="590" w:type="pct"/>
            <w:noWrap w:val="0"/>
            <w:vAlign w:val="center"/>
          </w:tcPr>
          <w:p w14:paraId="7EB695FC">
            <w:pPr>
              <w:pStyle w:val="51"/>
              <w:rPr>
                <w:rFonts w:hint="default" w:eastAsia="宋体"/>
                <w:b/>
                <w:bCs/>
                <w:sz w:val="21"/>
                <w:szCs w:val="21"/>
                <w:u w:val="none"/>
              </w:rPr>
            </w:pPr>
            <w:r>
              <w:rPr>
                <w:rFonts w:hint="default" w:eastAsia="宋体"/>
                <w:b/>
                <w:bCs/>
                <w:sz w:val="21"/>
                <w:szCs w:val="21"/>
                <w:u w:val="none"/>
              </w:rPr>
              <w:t>风速（m/s）</w:t>
            </w:r>
          </w:p>
        </w:tc>
        <w:tc>
          <w:tcPr>
            <w:tcW w:w="495" w:type="pct"/>
            <w:noWrap w:val="0"/>
            <w:vAlign w:val="center"/>
          </w:tcPr>
          <w:p w14:paraId="54066B34">
            <w:pPr>
              <w:pStyle w:val="51"/>
              <w:rPr>
                <w:rFonts w:hint="default" w:eastAsia="宋体"/>
                <w:b/>
                <w:bCs/>
                <w:sz w:val="21"/>
                <w:szCs w:val="21"/>
                <w:u w:val="none"/>
              </w:rPr>
            </w:pPr>
            <w:r>
              <w:rPr>
                <w:rFonts w:hint="default" w:eastAsia="宋体"/>
                <w:b/>
                <w:bCs/>
                <w:sz w:val="21"/>
                <w:szCs w:val="21"/>
                <w:u w:val="none"/>
              </w:rPr>
              <w:t>风向</w:t>
            </w:r>
          </w:p>
        </w:tc>
      </w:tr>
      <w:tr w14:paraId="198B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pct"/>
            <w:vMerge w:val="restart"/>
            <w:noWrap w:val="0"/>
            <w:vAlign w:val="center"/>
          </w:tcPr>
          <w:p w14:paraId="050C2652">
            <w:pPr>
              <w:pStyle w:val="51"/>
              <w:rPr>
                <w:rFonts w:eastAsia="宋体"/>
                <w:sz w:val="21"/>
                <w:szCs w:val="21"/>
                <w:u w:val="none"/>
              </w:rPr>
            </w:pPr>
            <w:r>
              <w:rPr>
                <w:rFonts w:hint="default" w:eastAsia="宋体"/>
                <w:sz w:val="21"/>
                <w:szCs w:val="21"/>
                <w:u w:val="none"/>
              </w:rPr>
              <w:t>202</w:t>
            </w:r>
            <w:r>
              <w:rPr>
                <w:rFonts w:eastAsia="宋体"/>
                <w:sz w:val="21"/>
                <w:szCs w:val="21"/>
                <w:u w:val="none"/>
              </w:rPr>
              <w:t>5</w:t>
            </w:r>
            <w:r>
              <w:rPr>
                <w:rFonts w:hint="default" w:eastAsia="宋体"/>
                <w:sz w:val="21"/>
                <w:szCs w:val="21"/>
                <w:u w:val="none"/>
              </w:rPr>
              <w:t>.</w:t>
            </w:r>
            <w:r>
              <w:rPr>
                <w:rFonts w:eastAsia="宋体"/>
                <w:sz w:val="21"/>
                <w:szCs w:val="21"/>
                <w:u w:val="none"/>
              </w:rPr>
              <w:t>1</w:t>
            </w:r>
            <w:r>
              <w:rPr>
                <w:rFonts w:hint="default" w:eastAsia="宋体"/>
                <w:sz w:val="21"/>
                <w:szCs w:val="21"/>
                <w:u w:val="none"/>
              </w:rPr>
              <w:t>.1</w:t>
            </w:r>
            <w:r>
              <w:rPr>
                <w:rFonts w:eastAsia="宋体"/>
                <w:sz w:val="21"/>
                <w:szCs w:val="21"/>
                <w:u w:val="none"/>
              </w:rPr>
              <w:t>5</w:t>
            </w:r>
          </w:p>
        </w:tc>
        <w:tc>
          <w:tcPr>
            <w:tcW w:w="1227" w:type="pct"/>
            <w:noWrap w:val="0"/>
            <w:vAlign w:val="center"/>
          </w:tcPr>
          <w:p w14:paraId="37CC4193">
            <w:pPr>
              <w:pStyle w:val="51"/>
              <w:rPr>
                <w:rFonts w:hint="default" w:eastAsia="宋体"/>
                <w:sz w:val="21"/>
                <w:szCs w:val="21"/>
                <w:u w:val="none"/>
              </w:rPr>
            </w:pPr>
            <w:r>
              <w:rPr>
                <w:rFonts w:hint="default" w:eastAsia="宋体"/>
                <w:sz w:val="21"/>
                <w:szCs w:val="21"/>
                <w:u w:val="none"/>
              </w:rPr>
              <w:t>昼间（11：30~1</w:t>
            </w:r>
            <w:r>
              <w:rPr>
                <w:rFonts w:eastAsia="宋体"/>
                <w:sz w:val="21"/>
                <w:szCs w:val="21"/>
                <w:u w:val="none"/>
              </w:rPr>
              <w:t>3</w:t>
            </w:r>
            <w:r>
              <w:rPr>
                <w:rFonts w:hint="default" w:eastAsia="宋体"/>
                <w:sz w:val="21"/>
                <w:szCs w:val="21"/>
                <w:u w:val="none"/>
              </w:rPr>
              <w:t>：</w:t>
            </w:r>
            <w:r>
              <w:rPr>
                <w:rFonts w:eastAsia="宋体"/>
                <w:sz w:val="21"/>
                <w:szCs w:val="21"/>
                <w:u w:val="none"/>
              </w:rPr>
              <w:t>20</w:t>
            </w:r>
            <w:r>
              <w:rPr>
                <w:rFonts w:hint="default" w:eastAsia="宋体"/>
                <w:sz w:val="21"/>
                <w:szCs w:val="21"/>
                <w:u w:val="none"/>
              </w:rPr>
              <w:t>）</w:t>
            </w:r>
          </w:p>
        </w:tc>
        <w:tc>
          <w:tcPr>
            <w:tcW w:w="764" w:type="dxa"/>
            <w:noWrap w:val="0"/>
            <w:vAlign w:val="center"/>
          </w:tcPr>
          <w:p w14:paraId="2D74DF1F">
            <w:pPr>
              <w:pStyle w:val="51"/>
              <w:rPr>
                <w:rFonts w:hint="default" w:eastAsia="宋体"/>
                <w:sz w:val="21"/>
                <w:szCs w:val="21"/>
                <w:u w:val="none"/>
              </w:rPr>
            </w:pPr>
            <w:r>
              <w:rPr>
                <w:rFonts w:eastAsia="宋体"/>
                <w:sz w:val="21"/>
                <w:szCs w:val="21"/>
                <w:u w:val="none"/>
              </w:rPr>
              <w:t>晴</w:t>
            </w:r>
          </w:p>
        </w:tc>
        <w:tc>
          <w:tcPr>
            <w:tcW w:w="981" w:type="dxa"/>
            <w:noWrap w:val="0"/>
            <w:vAlign w:val="center"/>
          </w:tcPr>
          <w:p w14:paraId="14F10086">
            <w:pPr>
              <w:pStyle w:val="51"/>
              <w:rPr>
                <w:rFonts w:hint="default" w:eastAsia="宋体"/>
                <w:sz w:val="21"/>
                <w:szCs w:val="21"/>
                <w:u w:val="none"/>
              </w:rPr>
            </w:pPr>
            <w:r>
              <w:rPr>
                <w:rFonts w:eastAsia="宋体"/>
                <w:sz w:val="21"/>
                <w:szCs w:val="21"/>
                <w:u w:val="none"/>
              </w:rPr>
              <w:t>18.4</w:t>
            </w:r>
          </w:p>
        </w:tc>
        <w:tc>
          <w:tcPr>
            <w:tcW w:w="1131" w:type="dxa"/>
            <w:noWrap w:val="0"/>
            <w:vAlign w:val="center"/>
          </w:tcPr>
          <w:p w14:paraId="6F33448F">
            <w:pPr>
              <w:pStyle w:val="51"/>
              <w:rPr>
                <w:rFonts w:hint="default" w:eastAsia="宋体"/>
                <w:sz w:val="21"/>
                <w:szCs w:val="21"/>
                <w:u w:val="none"/>
              </w:rPr>
            </w:pPr>
            <w:r>
              <w:rPr>
                <w:rFonts w:eastAsia="宋体"/>
                <w:sz w:val="21"/>
                <w:szCs w:val="21"/>
                <w:u w:val="none"/>
              </w:rPr>
              <w:t>44</w:t>
            </w:r>
          </w:p>
        </w:tc>
        <w:tc>
          <w:tcPr>
            <w:tcW w:w="1064" w:type="dxa"/>
            <w:noWrap w:val="0"/>
            <w:vAlign w:val="center"/>
          </w:tcPr>
          <w:p w14:paraId="4F4F4111">
            <w:pPr>
              <w:pStyle w:val="51"/>
              <w:rPr>
                <w:rFonts w:hint="default" w:eastAsia="宋体"/>
                <w:sz w:val="21"/>
                <w:szCs w:val="21"/>
                <w:u w:val="none"/>
              </w:rPr>
            </w:pPr>
            <w:r>
              <w:rPr>
                <w:rFonts w:eastAsia="宋体"/>
                <w:sz w:val="21"/>
                <w:szCs w:val="21"/>
                <w:u w:val="none"/>
              </w:rPr>
              <w:t>100.48</w:t>
            </w:r>
          </w:p>
        </w:tc>
        <w:tc>
          <w:tcPr>
            <w:tcW w:w="1103" w:type="dxa"/>
            <w:noWrap w:val="0"/>
            <w:vAlign w:val="center"/>
          </w:tcPr>
          <w:p w14:paraId="5D26AB11">
            <w:pPr>
              <w:pStyle w:val="51"/>
              <w:rPr>
                <w:rFonts w:hint="default" w:eastAsia="宋体"/>
                <w:sz w:val="21"/>
                <w:szCs w:val="21"/>
                <w:u w:val="none"/>
              </w:rPr>
            </w:pPr>
            <w:r>
              <w:rPr>
                <w:rFonts w:eastAsia="宋体"/>
                <w:sz w:val="21"/>
                <w:szCs w:val="21"/>
                <w:u w:val="none"/>
              </w:rPr>
              <w:t>1.4</w:t>
            </w:r>
          </w:p>
        </w:tc>
        <w:tc>
          <w:tcPr>
            <w:tcW w:w="925" w:type="dxa"/>
            <w:noWrap w:val="0"/>
            <w:vAlign w:val="center"/>
          </w:tcPr>
          <w:p w14:paraId="461FB4E3">
            <w:pPr>
              <w:pStyle w:val="51"/>
              <w:rPr>
                <w:rFonts w:hint="default" w:eastAsia="宋体"/>
                <w:sz w:val="21"/>
                <w:szCs w:val="21"/>
                <w:u w:val="none"/>
              </w:rPr>
            </w:pPr>
            <w:r>
              <w:rPr>
                <w:rFonts w:eastAsia="宋体"/>
                <w:sz w:val="21"/>
                <w:szCs w:val="21"/>
                <w:u w:val="none"/>
              </w:rPr>
              <w:t>西</w:t>
            </w:r>
          </w:p>
        </w:tc>
      </w:tr>
      <w:tr w14:paraId="10D6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pct"/>
            <w:vMerge w:val="continue"/>
            <w:noWrap w:val="0"/>
            <w:vAlign w:val="center"/>
          </w:tcPr>
          <w:p w14:paraId="3B6F704B">
            <w:pPr>
              <w:pStyle w:val="51"/>
              <w:rPr>
                <w:rFonts w:hint="default" w:eastAsia="宋体"/>
                <w:sz w:val="21"/>
                <w:szCs w:val="21"/>
                <w:u w:val="none"/>
              </w:rPr>
            </w:pPr>
          </w:p>
        </w:tc>
        <w:tc>
          <w:tcPr>
            <w:tcW w:w="1227" w:type="pct"/>
            <w:noWrap w:val="0"/>
            <w:vAlign w:val="center"/>
          </w:tcPr>
          <w:p w14:paraId="6D41D3EC">
            <w:pPr>
              <w:pStyle w:val="51"/>
              <w:rPr>
                <w:rFonts w:hint="default" w:eastAsia="宋体"/>
                <w:sz w:val="21"/>
                <w:szCs w:val="21"/>
                <w:u w:val="none"/>
              </w:rPr>
            </w:pPr>
            <w:r>
              <w:rPr>
                <w:rFonts w:hint="default" w:eastAsia="宋体"/>
                <w:sz w:val="21"/>
                <w:szCs w:val="21"/>
                <w:u w:val="none"/>
              </w:rPr>
              <w:t>夜间（22：00~</w:t>
            </w:r>
            <w:r>
              <w:rPr>
                <w:rFonts w:eastAsia="宋体"/>
                <w:sz w:val="21"/>
                <w:szCs w:val="21"/>
                <w:u w:val="none"/>
              </w:rPr>
              <w:t>0</w:t>
            </w:r>
            <w:r>
              <w:rPr>
                <w:rFonts w:hint="default" w:eastAsia="宋体"/>
                <w:sz w:val="21"/>
                <w:szCs w:val="21"/>
                <w:u w:val="none"/>
              </w:rPr>
              <w:t>：30）</w:t>
            </w:r>
          </w:p>
        </w:tc>
        <w:tc>
          <w:tcPr>
            <w:tcW w:w="764" w:type="dxa"/>
            <w:noWrap w:val="0"/>
            <w:vAlign w:val="center"/>
          </w:tcPr>
          <w:p w14:paraId="0649B9A9">
            <w:pPr>
              <w:pStyle w:val="51"/>
              <w:rPr>
                <w:rFonts w:hint="default" w:eastAsia="宋体"/>
                <w:sz w:val="21"/>
                <w:szCs w:val="21"/>
                <w:u w:val="none"/>
              </w:rPr>
            </w:pPr>
            <w:r>
              <w:rPr>
                <w:rFonts w:eastAsia="宋体"/>
                <w:sz w:val="21"/>
                <w:szCs w:val="21"/>
                <w:u w:val="none"/>
              </w:rPr>
              <w:t>晴</w:t>
            </w:r>
          </w:p>
        </w:tc>
        <w:tc>
          <w:tcPr>
            <w:tcW w:w="981" w:type="dxa"/>
            <w:noWrap w:val="0"/>
            <w:vAlign w:val="center"/>
          </w:tcPr>
          <w:p w14:paraId="6EEF80AF">
            <w:pPr>
              <w:pStyle w:val="51"/>
              <w:rPr>
                <w:rFonts w:hint="default" w:eastAsia="宋体"/>
                <w:sz w:val="21"/>
                <w:szCs w:val="21"/>
                <w:u w:val="none"/>
              </w:rPr>
            </w:pPr>
            <w:r>
              <w:rPr>
                <w:rFonts w:eastAsia="宋体"/>
                <w:sz w:val="21"/>
                <w:szCs w:val="21"/>
                <w:u w:val="none"/>
              </w:rPr>
              <w:t>13.2</w:t>
            </w:r>
          </w:p>
        </w:tc>
        <w:tc>
          <w:tcPr>
            <w:tcW w:w="1131" w:type="dxa"/>
            <w:noWrap w:val="0"/>
            <w:vAlign w:val="center"/>
          </w:tcPr>
          <w:p w14:paraId="5C32BEBA">
            <w:pPr>
              <w:pStyle w:val="51"/>
              <w:rPr>
                <w:rFonts w:hint="default" w:eastAsia="宋体"/>
                <w:sz w:val="21"/>
                <w:szCs w:val="21"/>
                <w:u w:val="none"/>
              </w:rPr>
            </w:pPr>
            <w:r>
              <w:rPr>
                <w:rFonts w:eastAsia="宋体"/>
                <w:sz w:val="21"/>
                <w:szCs w:val="21"/>
                <w:u w:val="none"/>
              </w:rPr>
              <w:t>47</w:t>
            </w:r>
          </w:p>
        </w:tc>
        <w:tc>
          <w:tcPr>
            <w:tcW w:w="1064" w:type="dxa"/>
            <w:noWrap w:val="0"/>
            <w:vAlign w:val="center"/>
          </w:tcPr>
          <w:p w14:paraId="27403D33">
            <w:pPr>
              <w:pStyle w:val="51"/>
              <w:rPr>
                <w:rFonts w:hint="default" w:eastAsia="宋体"/>
                <w:sz w:val="21"/>
                <w:szCs w:val="21"/>
                <w:u w:val="none"/>
              </w:rPr>
            </w:pPr>
            <w:r>
              <w:rPr>
                <w:rFonts w:eastAsia="宋体"/>
                <w:sz w:val="21"/>
                <w:szCs w:val="21"/>
                <w:u w:val="none"/>
              </w:rPr>
              <w:t>100.69</w:t>
            </w:r>
          </w:p>
        </w:tc>
        <w:tc>
          <w:tcPr>
            <w:tcW w:w="1103" w:type="dxa"/>
            <w:noWrap w:val="0"/>
            <w:vAlign w:val="center"/>
          </w:tcPr>
          <w:p w14:paraId="5482DD4E">
            <w:pPr>
              <w:pStyle w:val="51"/>
              <w:rPr>
                <w:rFonts w:hint="default" w:eastAsia="宋体"/>
                <w:sz w:val="21"/>
                <w:szCs w:val="21"/>
                <w:u w:val="none"/>
              </w:rPr>
            </w:pPr>
            <w:r>
              <w:rPr>
                <w:rFonts w:eastAsia="宋体"/>
                <w:sz w:val="21"/>
                <w:szCs w:val="21"/>
                <w:u w:val="none"/>
              </w:rPr>
              <w:t>2.3</w:t>
            </w:r>
          </w:p>
        </w:tc>
        <w:tc>
          <w:tcPr>
            <w:tcW w:w="925" w:type="dxa"/>
            <w:noWrap w:val="0"/>
            <w:vAlign w:val="center"/>
          </w:tcPr>
          <w:p w14:paraId="2B4218B3">
            <w:pPr>
              <w:pStyle w:val="51"/>
              <w:rPr>
                <w:rFonts w:hint="default" w:eastAsia="宋体"/>
                <w:sz w:val="21"/>
                <w:szCs w:val="21"/>
                <w:u w:val="none"/>
              </w:rPr>
            </w:pPr>
            <w:r>
              <w:rPr>
                <w:rFonts w:eastAsia="宋体"/>
                <w:sz w:val="21"/>
                <w:szCs w:val="21"/>
                <w:u w:val="none"/>
              </w:rPr>
              <w:t>西北</w:t>
            </w:r>
          </w:p>
        </w:tc>
      </w:tr>
      <w:tr w14:paraId="2AE3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pct"/>
            <w:vMerge w:val="restart"/>
            <w:noWrap w:val="0"/>
            <w:vAlign w:val="center"/>
          </w:tcPr>
          <w:p w14:paraId="322917A8">
            <w:pPr>
              <w:pStyle w:val="51"/>
              <w:rPr>
                <w:rFonts w:eastAsia="宋体"/>
                <w:sz w:val="21"/>
                <w:szCs w:val="21"/>
                <w:u w:val="none"/>
              </w:rPr>
            </w:pPr>
            <w:r>
              <w:rPr>
                <w:rFonts w:hint="default" w:eastAsia="宋体"/>
                <w:sz w:val="21"/>
                <w:szCs w:val="21"/>
                <w:u w:val="none"/>
              </w:rPr>
              <w:t>202</w:t>
            </w:r>
            <w:r>
              <w:rPr>
                <w:rFonts w:eastAsia="宋体"/>
                <w:sz w:val="21"/>
                <w:szCs w:val="21"/>
                <w:u w:val="none"/>
              </w:rPr>
              <w:t>5</w:t>
            </w:r>
            <w:r>
              <w:rPr>
                <w:rFonts w:hint="default" w:eastAsia="宋体"/>
                <w:sz w:val="21"/>
                <w:szCs w:val="21"/>
                <w:u w:val="none"/>
              </w:rPr>
              <w:t>.</w:t>
            </w:r>
            <w:r>
              <w:rPr>
                <w:rFonts w:eastAsia="宋体"/>
                <w:sz w:val="21"/>
                <w:szCs w:val="21"/>
                <w:u w:val="none"/>
              </w:rPr>
              <w:t>1</w:t>
            </w:r>
            <w:r>
              <w:rPr>
                <w:rFonts w:hint="default" w:eastAsia="宋体"/>
                <w:sz w:val="21"/>
                <w:szCs w:val="21"/>
                <w:u w:val="none"/>
              </w:rPr>
              <w:t>.1</w:t>
            </w:r>
            <w:r>
              <w:rPr>
                <w:rFonts w:eastAsia="宋体"/>
                <w:sz w:val="21"/>
                <w:szCs w:val="21"/>
                <w:u w:val="none"/>
              </w:rPr>
              <w:t>6</w:t>
            </w:r>
          </w:p>
        </w:tc>
        <w:tc>
          <w:tcPr>
            <w:tcW w:w="2294" w:type="dxa"/>
            <w:noWrap w:val="0"/>
            <w:vAlign w:val="center"/>
          </w:tcPr>
          <w:p w14:paraId="196FA0F6">
            <w:pPr>
              <w:pStyle w:val="51"/>
              <w:rPr>
                <w:rFonts w:hint="default" w:eastAsia="宋体"/>
                <w:sz w:val="21"/>
                <w:szCs w:val="21"/>
                <w:u w:val="none"/>
              </w:rPr>
            </w:pPr>
            <w:r>
              <w:rPr>
                <w:rFonts w:hint="default" w:eastAsia="宋体"/>
                <w:sz w:val="21"/>
                <w:szCs w:val="21"/>
                <w:u w:val="none"/>
              </w:rPr>
              <w:t>昼间（</w:t>
            </w:r>
            <w:r>
              <w:rPr>
                <w:rFonts w:eastAsia="宋体"/>
                <w:sz w:val="21"/>
                <w:szCs w:val="21"/>
                <w:u w:val="none"/>
              </w:rPr>
              <w:t>9</w:t>
            </w:r>
            <w:r>
              <w:rPr>
                <w:rFonts w:hint="default" w:eastAsia="宋体"/>
                <w:sz w:val="21"/>
                <w:szCs w:val="21"/>
                <w:u w:val="none"/>
              </w:rPr>
              <w:t>:</w:t>
            </w:r>
            <w:r>
              <w:rPr>
                <w:rFonts w:eastAsia="宋体"/>
                <w:sz w:val="21"/>
                <w:szCs w:val="21"/>
                <w:u w:val="none"/>
              </w:rPr>
              <w:t>2</w:t>
            </w:r>
            <w:r>
              <w:rPr>
                <w:rFonts w:hint="default" w:eastAsia="宋体"/>
                <w:sz w:val="21"/>
                <w:szCs w:val="21"/>
                <w:u w:val="none"/>
              </w:rPr>
              <w:t>0~1</w:t>
            </w:r>
            <w:r>
              <w:rPr>
                <w:rFonts w:eastAsia="宋体"/>
                <w:sz w:val="21"/>
                <w:szCs w:val="21"/>
                <w:u w:val="none"/>
              </w:rPr>
              <w:t>1</w:t>
            </w:r>
            <w:r>
              <w:rPr>
                <w:rFonts w:hint="default" w:eastAsia="宋体"/>
                <w:sz w:val="21"/>
                <w:szCs w:val="21"/>
                <w:u w:val="none"/>
              </w:rPr>
              <w:t>：</w:t>
            </w:r>
            <w:r>
              <w:rPr>
                <w:rFonts w:eastAsia="宋体"/>
                <w:sz w:val="21"/>
                <w:szCs w:val="21"/>
                <w:u w:val="none"/>
              </w:rPr>
              <w:t>1</w:t>
            </w:r>
            <w:r>
              <w:rPr>
                <w:rFonts w:hint="default" w:eastAsia="宋体"/>
                <w:sz w:val="21"/>
                <w:szCs w:val="21"/>
                <w:u w:val="none"/>
              </w:rPr>
              <w:t>0）</w:t>
            </w:r>
          </w:p>
        </w:tc>
        <w:tc>
          <w:tcPr>
            <w:tcW w:w="763" w:type="dxa"/>
            <w:noWrap w:val="0"/>
            <w:vAlign w:val="center"/>
          </w:tcPr>
          <w:p w14:paraId="5C6B4457">
            <w:pPr>
              <w:pStyle w:val="51"/>
              <w:rPr>
                <w:rFonts w:hint="default" w:eastAsia="宋体"/>
                <w:sz w:val="21"/>
                <w:szCs w:val="21"/>
                <w:u w:val="none"/>
              </w:rPr>
            </w:pPr>
            <w:r>
              <w:rPr>
                <w:rFonts w:eastAsia="宋体"/>
                <w:sz w:val="21"/>
                <w:szCs w:val="21"/>
                <w:u w:val="none"/>
              </w:rPr>
              <w:t>晴</w:t>
            </w:r>
          </w:p>
        </w:tc>
        <w:tc>
          <w:tcPr>
            <w:tcW w:w="982" w:type="dxa"/>
            <w:noWrap w:val="0"/>
            <w:vAlign w:val="center"/>
          </w:tcPr>
          <w:p w14:paraId="5DA0FFEB">
            <w:pPr>
              <w:pStyle w:val="51"/>
              <w:rPr>
                <w:rFonts w:hint="default" w:eastAsia="宋体"/>
                <w:sz w:val="21"/>
                <w:szCs w:val="21"/>
                <w:u w:val="none"/>
              </w:rPr>
            </w:pPr>
            <w:r>
              <w:rPr>
                <w:rFonts w:eastAsia="宋体"/>
                <w:sz w:val="21"/>
                <w:szCs w:val="21"/>
                <w:u w:val="none"/>
              </w:rPr>
              <w:t>15.5</w:t>
            </w:r>
          </w:p>
        </w:tc>
        <w:tc>
          <w:tcPr>
            <w:tcW w:w="1132" w:type="dxa"/>
            <w:noWrap w:val="0"/>
            <w:vAlign w:val="center"/>
          </w:tcPr>
          <w:p w14:paraId="3EBC0CA9">
            <w:pPr>
              <w:pStyle w:val="51"/>
              <w:rPr>
                <w:rFonts w:hint="default" w:eastAsia="宋体"/>
                <w:sz w:val="21"/>
                <w:szCs w:val="21"/>
                <w:u w:val="none"/>
              </w:rPr>
            </w:pPr>
            <w:r>
              <w:rPr>
                <w:rFonts w:eastAsia="宋体"/>
                <w:sz w:val="21"/>
                <w:szCs w:val="21"/>
                <w:u w:val="none"/>
              </w:rPr>
              <w:t>43</w:t>
            </w:r>
          </w:p>
        </w:tc>
        <w:tc>
          <w:tcPr>
            <w:tcW w:w="1064" w:type="dxa"/>
            <w:noWrap w:val="0"/>
            <w:vAlign w:val="center"/>
          </w:tcPr>
          <w:p w14:paraId="024C14C3">
            <w:pPr>
              <w:pStyle w:val="51"/>
              <w:rPr>
                <w:rFonts w:hint="default" w:eastAsia="宋体"/>
                <w:sz w:val="21"/>
                <w:szCs w:val="21"/>
                <w:u w:val="none"/>
              </w:rPr>
            </w:pPr>
            <w:r>
              <w:rPr>
                <w:rFonts w:eastAsia="宋体"/>
                <w:sz w:val="21"/>
                <w:szCs w:val="21"/>
                <w:u w:val="none"/>
              </w:rPr>
              <w:t>100.51</w:t>
            </w:r>
          </w:p>
        </w:tc>
        <w:tc>
          <w:tcPr>
            <w:tcW w:w="1104" w:type="dxa"/>
            <w:noWrap w:val="0"/>
            <w:vAlign w:val="center"/>
          </w:tcPr>
          <w:p w14:paraId="36926739">
            <w:pPr>
              <w:pStyle w:val="51"/>
              <w:rPr>
                <w:rFonts w:hint="default" w:eastAsia="宋体"/>
                <w:sz w:val="21"/>
                <w:szCs w:val="21"/>
                <w:u w:val="none"/>
              </w:rPr>
            </w:pPr>
            <w:r>
              <w:rPr>
                <w:rFonts w:eastAsia="宋体"/>
                <w:sz w:val="21"/>
                <w:szCs w:val="21"/>
                <w:u w:val="none"/>
              </w:rPr>
              <w:t>2.0</w:t>
            </w:r>
          </w:p>
        </w:tc>
        <w:tc>
          <w:tcPr>
            <w:tcW w:w="927" w:type="dxa"/>
            <w:noWrap w:val="0"/>
            <w:vAlign w:val="center"/>
          </w:tcPr>
          <w:p w14:paraId="296BF46C">
            <w:pPr>
              <w:pStyle w:val="51"/>
              <w:rPr>
                <w:rFonts w:hint="default" w:eastAsia="宋体"/>
                <w:sz w:val="21"/>
                <w:szCs w:val="21"/>
                <w:u w:val="none"/>
              </w:rPr>
            </w:pPr>
            <w:r>
              <w:rPr>
                <w:rFonts w:eastAsia="宋体"/>
                <w:sz w:val="21"/>
                <w:szCs w:val="21"/>
                <w:u w:val="none"/>
              </w:rPr>
              <w:t>北</w:t>
            </w:r>
          </w:p>
        </w:tc>
      </w:tr>
      <w:tr w14:paraId="72A4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8" w:type="pct"/>
            <w:vMerge w:val="continue"/>
            <w:noWrap w:val="0"/>
            <w:vAlign w:val="center"/>
          </w:tcPr>
          <w:p w14:paraId="5B71B36E">
            <w:pPr>
              <w:pStyle w:val="51"/>
              <w:rPr>
                <w:rFonts w:hint="default" w:eastAsia="宋体"/>
                <w:sz w:val="21"/>
                <w:szCs w:val="21"/>
                <w:u w:val="none"/>
              </w:rPr>
            </w:pPr>
          </w:p>
        </w:tc>
        <w:tc>
          <w:tcPr>
            <w:tcW w:w="2294" w:type="dxa"/>
            <w:noWrap w:val="0"/>
            <w:vAlign w:val="center"/>
          </w:tcPr>
          <w:p w14:paraId="1438CAF1">
            <w:pPr>
              <w:pStyle w:val="51"/>
              <w:rPr>
                <w:rFonts w:hint="default" w:eastAsia="宋体"/>
                <w:sz w:val="21"/>
                <w:szCs w:val="21"/>
                <w:u w:val="none"/>
              </w:rPr>
            </w:pPr>
            <w:r>
              <w:rPr>
                <w:rFonts w:hint="default" w:eastAsia="宋体"/>
                <w:sz w:val="21"/>
                <w:szCs w:val="21"/>
                <w:u w:val="none"/>
              </w:rPr>
              <w:t>夜间（22：00~</w:t>
            </w:r>
            <w:r>
              <w:rPr>
                <w:rFonts w:eastAsia="宋体"/>
                <w:sz w:val="21"/>
                <w:szCs w:val="21"/>
                <w:u w:val="none"/>
              </w:rPr>
              <w:t>0</w:t>
            </w:r>
            <w:r>
              <w:rPr>
                <w:rFonts w:hint="default" w:eastAsia="宋体"/>
                <w:sz w:val="21"/>
                <w:szCs w:val="21"/>
                <w:u w:val="none"/>
              </w:rPr>
              <w:t>：</w:t>
            </w:r>
            <w:r>
              <w:rPr>
                <w:rFonts w:eastAsia="宋体"/>
                <w:sz w:val="21"/>
                <w:szCs w:val="21"/>
                <w:u w:val="none"/>
              </w:rPr>
              <w:t>3</w:t>
            </w:r>
            <w:r>
              <w:rPr>
                <w:rFonts w:hint="default" w:eastAsia="宋体"/>
                <w:sz w:val="21"/>
                <w:szCs w:val="21"/>
                <w:u w:val="none"/>
              </w:rPr>
              <w:t>0）</w:t>
            </w:r>
          </w:p>
        </w:tc>
        <w:tc>
          <w:tcPr>
            <w:tcW w:w="763" w:type="dxa"/>
            <w:noWrap w:val="0"/>
            <w:vAlign w:val="center"/>
          </w:tcPr>
          <w:p w14:paraId="4DC40052">
            <w:pPr>
              <w:pStyle w:val="51"/>
              <w:rPr>
                <w:rFonts w:hint="default" w:eastAsia="宋体"/>
                <w:sz w:val="21"/>
                <w:szCs w:val="21"/>
                <w:u w:val="none"/>
              </w:rPr>
            </w:pPr>
            <w:r>
              <w:rPr>
                <w:rFonts w:eastAsia="宋体"/>
                <w:sz w:val="21"/>
                <w:szCs w:val="21"/>
                <w:u w:val="none"/>
              </w:rPr>
              <w:t>晴</w:t>
            </w:r>
          </w:p>
        </w:tc>
        <w:tc>
          <w:tcPr>
            <w:tcW w:w="982" w:type="dxa"/>
            <w:noWrap w:val="0"/>
            <w:vAlign w:val="center"/>
          </w:tcPr>
          <w:p w14:paraId="02604038">
            <w:pPr>
              <w:pStyle w:val="51"/>
              <w:rPr>
                <w:rFonts w:hint="default" w:eastAsia="宋体"/>
                <w:sz w:val="21"/>
                <w:szCs w:val="21"/>
                <w:u w:val="none"/>
              </w:rPr>
            </w:pPr>
            <w:r>
              <w:rPr>
                <w:rFonts w:eastAsia="宋体"/>
                <w:sz w:val="21"/>
                <w:szCs w:val="21"/>
                <w:u w:val="none"/>
              </w:rPr>
              <w:t>13.7</w:t>
            </w:r>
          </w:p>
        </w:tc>
        <w:tc>
          <w:tcPr>
            <w:tcW w:w="1132" w:type="dxa"/>
            <w:noWrap w:val="0"/>
            <w:vAlign w:val="center"/>
          </w:tcPr>
          <w:p w14:paraId="644F14A0">
            <w:pPr>
              <w:pStyle w:val="51"/>
              <w:rPr>
                <w:rFonts w:hint="default" w:eastAsia="宋体"/>
                <w:sz w:val="21"/>
                <w:szCs w:val="21"/>
                <w:u w:val="none"/>
              </w:rPr>
            </w:pPr>
            <w:r>
              <w:rPr>
                <w:rFonts w:eastAsia="宋体"/>
                <w:sz w:val="21"/>
                <w:szCs w:val="21"/>
                <w:u w:val="none"/>
              </w:rPr>
              <w:t>46</w:t>
            </w:r>
          </w:p>
        </w:tc>
        <w:tc>
          <w:tcPr>
            <w:tcW w:w="1064" w:type="dxa"/>
            <w:noWrap w:val="0"/>
            <w:vAlign w:val="center"/>
          </w:tcPr>
          <w:p w14:paraId="198DFF4C">
            <w:pPr>
              <w:pStyle w:val="51"/>
              <w:rPr>
                <w:rFonts w:hint="default" w:eastAsia="宋体"/>
                <w:sz w:val="21"/>
                <w:szCs w:val="21"/>
                <w:u w:val="none"/>
              </w:rPr>
            </w:pPr>
            <w:r>
              <w:rPr>
                <w:rFonts w:eastAsia="宋体"/>
                <w:sz w:val="21"/>
                <w:szCs w:val="21"/>
                <w:u w:val="none"/>
              </w:rPr>
              <w:t>100.66</w:t>
            </w:r>
          </w:p>
        </w:tc>
        <w:tc>
          <w:tcPr>
            <w:tcW w:w="1104" w:type="dxa"/>
            <w:noWrap w:val="0"/>
            <w:vAlign w:val="center"/>
          </w:tcPr>
          <w:p w14:paraId="34213D29">
            <w:pPr>
              <w:pStyle w:val="51"/>
              <w:rPr>
                <w:rFonts w:hint="default" w:eastAsia="宋体"/>
                <w:sz w:val="21"/>
                <w:szCs w:val="21"/>
                <w:u w:val="none"/>
              </w:rPr>
            </w:pPr>
            <w:r>
              <w:rPr>
                <w:rFonts w:eastAsia="宋体"/>
                <w:sz w:val="21"/>
                <w:szCs w:val="21"/>
                <w:u w:val="none"/>
              </w:rPr>
              <w:t>2.1</w:t>
            </w:r>
          </w:p>
        </w:tc>
        <w:tc>
          <w:tcPr>
            <w:tcW w:w="927" w:type="dxa"/>
            <w:noWrap w:val="0"/>
            <w:vAlign w:val="center"/>
          </w:tcPr>
          <w:p w14:paraId="0D0B6DC9">
            <w:pPr>
              <w:pStyle w:val="51"/>
              <w:rPr>
                <w:rFonts w:hint="default" w:eastAsia="宋体"/>
                <w:sz w:val="21"/>
                <w:szCs w:val="21"/>
                <w:u w:val="none"/>
              </w:rPr>
            </w:pPr>
            <w:r>
              <w:rPr>
                <w:rFonts w:eastAsia="宋体"/>
                <w:sz w:val="21"/>
                <w:szCs w:val="21"/>
                <w:u w:val="none"/>
              </w:rPr>
              <w:t>北</w:t>
            </w:r>
          </w:p>
        </w:tc>
      </w:tr>
    </w:tbl>
    <w:p w14:paraId="6A6BF2ED">
      <w:pPr>
        <w:spacing w:line="48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表2.2-</w:t>
      </w:r>
      <w:r>
        <w:rPr>
          <w:rFonts w:hint="eastAsia" w:eastAsia="宋体" w:cs="Times New Roman"/>
          <w:b/>
          <w:sz w:val="24"/>
          <w:lang w:val="en-US" w:eastAsia="zh-CN"/>
        </w:rPr>
        <w:t>3</w:t>
      </w:r>
      <w:r>
        <w:rPr>
          <w:rFonts w:hint="default" w:ascii="Times New Roman" w:hAnsi="Times New Roman" w:eastAsia="宋体" w:cs="Times New Roman"/>
          <w:b/>
          <w:sz w:val="24"/>
        </w:rPr>
        <w:t xml:space="preserve"> 工程验收监测期间工况负荷情况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207"/>
        <w:gridCol w:w="1445"/>
        <w:gridCol w:w="1694"/>
        <w:gridCol w:w="1889"/>
      </w:tblGrid>
      <w:tr w14:paraId="0FD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op w:val="single" w:color="auto" w:sz="4" w:space="0"/>
              <w:left w:val="single" w:color="auto" w:sz="4" w:space="0"/>
              <w:bottom w:val="single" w:color="auto" w:sz="4" w:space="0"/>
              <w:right w:val="single" w:color="auto" w:sz="4" w:space="0"/>
            </w:tcBorders>
            <w:noWrap w:val="0"/>
            <w:vAlign w:val="center"/>
          </w:tcPr>
          <w:p w14:paraId="7F51BCEF">
            <w:pPr>
              <w:tabs>
                <w:tab w:val="left" w:pos="5400"/>
              </w:tabs>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项目</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15CB6B57">
            <w:pPr>
              <w:tabs>
                <w:tab w:val="left" w:pos="5400"/>
              </w:tabs>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电压（kV）</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F2EB651">
            <w:pPr>
              <w:tabs>
                <w:tab w:val="left" w:pos="5400"/>
              </w:tabs>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电流（A）</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D94C84A">
            <w:pPr>
              <w:tabs>
                <w:tab w:val="left" w:pos="5400"/>
              </w:tabs>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有功功率（MW）</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38CB8D25">
            <w:pPr>
              <w:tabs>
                <w:tab w:val="left" w:pos="5400"/>
              </w:tabs>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无功功率（MVar）</w:t>
            </w:r>
          </w:p>
        </w:tc>
      </w:tr>
      <w:tr w14:paraId="7D06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op w:val="single" w:color="auto" w:sz="4" w:space="0"/>
              <w:left w:val="single" w:color="auto" w:sz="4" w:space="0"/>
              <w:bottom w:val="single" w:color="auto" w:sz="4" w:space="0"/>
              <w:right w:val="single" w:color="auto" w:sz="4" w:space="0"/>
            </w:tcBorders>
            <w:noWrap w:val="0"/>
            <w:vAlign w:val="center"/>
          </w:tcPr>
          <w:p w14:paraId="7C140C71">
            <w:pPr>
              <w:tabs>
                <w:tab w:val="left" w:pos="5400"/>
              </w:tabs>
              <w:autoSpaceDE w:val="0"/>
              <w:autoSpaceDN w:val="0"/>
              <w:jc w:val="center"/>
              <w:rPr>
                <w:rFonts w:hint="default" w:ascii="Times New Roman" w:hAnsi="Times New Roman" w:eastAsia="宋体" w:cs="Times New Roman"/>
                <w:bCs/>
                <w:szCs w:val="21"/>
              </w:rPr>
            </w:pPr>
            <w:r>
              <w:rPr>
                <w:rFonts w:hint="default" w:ascii="Times New Roman" w:hAnsi="Times New Roman" w:eastAsia="宋体" w:cs="Times New Roman"/>
                <w:szCs w:val="21"/>
              </w:rPr>
              <w:t>1#主变</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609D6489">
            <w:pPr>
              <w:tabs>
                <w:tab w:val="left" w:pos="5400"/>
              </w:tabs>
              <w:autoSpaceDE w:val="0"/>
              <w:autoSpaceDN w:val="0"/>
              <w:jc w:val="center"/>
              <w:rPr>
                <w:rFonts w:hint="default" w:ascii="Times New Roman" w:hAnsi="Times New Roman" w:eastAsia="宋体" w:cs="Times New Roman"/>
                <w:bCs/>
                <w:szCs w:val="21"/>
              </w:rPr>
            </w:pPr>
            <w:r>
              <w:rPr>
                <w:rFonts w:ascii="Times New Roman" w:hAnsi="Times New Roman" w:eastAsia="宋体"/>
                <w:bCs/>
                <w:szCs w:val="21"/>
              </w:rPr>
              <w:t>230.20</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5FA9422">
            <w:pPr>
              <w:tabs>
                <w:tab w:val="left" w:pos="5400"/>
              </w:tabs>
              <w:autoSpaceDE w:val="0"/>
              <w:autoSpaceDN w:val="0"/>
              <w:jc w:val="center"/>
              <w:rPr>
                <w:rFonts w:hint="default" w:ascii="Times New Roman" w:hAnsi="Times New Roman" w:eastAsia="宋体" w:cs="Times New Roman"/>
                <w:bCs/>
                <w:szCs w:val="21"/>
                <w:highlight w:val="yellow"/>
              </w:rPr>
            </w:pPr>
            <w:r>
              <w:rPr>
                <w:rFonts w:ascii="Times New Roman" w:hAnsi="Times New Roman" w:eastAsia="宋体"/>
                <w:bCs/>
                <w:szCs w:val="21"/>
              </w:rPr>
              <w:t>68.42</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4986C96">
            <w:pPr>
              <w:tabs>
                <w:tab w:val="left" w:pos="5400"/>
              </w:tabs>
              <w:autoSpaceDE w:val="0"/>
              <w:autoSpaceDN w:val="0"/>
              <w:jc w:val="center"/>
              <w:rPr>
                <w:rFonts w:ascii="Times New Roman" w:hAnsi="Times New Roman" w:eastAsia="宋体" w:cs="Times New Roman"/>
                <w:bCs/>
                <w:szCs w:val="21"/>
                <w:highlight w:val="yellow"/>
              </w:rPr>
            </w:pPr>
            <w:r>
              <w:rPr>
                <w:rFonts w:ascii="Times New Roman" w:hAnsi="Times New Roman" w:eastAsia="宋体" w:cs="Times New Roman"/>
                <w:bCs/>
                <w:szCs w:val="21"/>
              </w:rPr>
              <w:t>26.43</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293EEB69">
            <w:pPr>
              <w:tabs>
                <w:tab w:val="left" w:pos="5400"/>
              </w:tabs>
              <w:autoSpaceDE w:val="0"/>
              <w:autoSpaceDN w:val="0"/>
              <w:jc w:val="center"/>
              <w:rPr>
                <w:rFonts w:ascii="Times New Roman" w:hAnsi="Times New Roman" w:eastAsia="宋体" w:cs="Times New Roman"/>
                <w:bCs/>
                <w:szCs w:val="21"/>
                <w:highlight w:val="yellow"/>
              </w:rPr>
            </w:pPr>
            <w:r>
              <w:rPr>
                <w:rFonts w:ascii="Times New Roman" w:hAnsi="Times New Roman" w:eastAsia="宋体" w:cs="Times New Roman"/>
                <w:bCs/>
                <w:szCs w:val="21"/>
              </w:rPr>
              <w:t>0.55</w:t>
            </w:r>
          </w:p>
        </w:tc>
      </w:tr>
      <w:tr w14:paraId="7B01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5" w:type="dxa"/>
            <w:tcBorders>
              <w:top w:val="single" w:color="auto" w:sz="4" w:space="0"/>
              <w:left w:val="single" w:color="auto" w:sz="4" w:space="0"/>
              <w:bottom w:val="single" w:color="auto" w:sz="4" w:space="0"/>
              <w:right w:val="single" w:color="auto" w:sz="4" w:space="0"/>
            </w:tcBorders>
            <w:noWrap w:val="0"/>
            <w:vAlign w:val="center"/>
          </w:tcPr>
          <w:p w14:paraId="63FDF343">
            <w:pPr>
              <w:tabs>
                <w:tab w:val="left" w:pos="5400"/>
              </w:tabs>
              <w:autoSpaceDE w:val="0"/>
              <w:autoSpaceDN w:val="0"/>
              <w:jc w:val="center"/>
              <w:rPr>
                <w:rFonts w:hint="default" w:ascii="Times New Roman" w:hAnsi="Times New Roman" w:eastAsia="宋体" w:cs="Times New Roman"/>
                <w:bCs/>
                <w:szCs w:val="21"/>
              </w:rPr>
            </w:pPr>
            <w:r>
              <w:rPr>
                <w:rFonts w:hint="default" w:ascii="Times New Roman" w:hAnsi="Times New Roman" w:eastAsia="宋体" w:cs="Times New Roman"/>
                <w:szCs w:val="21"/>
              </w:rPr>
              <w:t>2#主变</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DBE9D0A">
            <w:pPr>
              <w:tabs>
                <w:tab w:val="left" w:pos="5400"/>
              </w:tabs>
              <w:autoSpaceDE w:val="0"/>
              <w:autoSpaceDN w:val="0"/>
              <w:jc w:val="center"/>
              <w:rPr>
                <w:rFonts w:hint="default" w:ascii="Times New Roman" w:hAnsi="Times New Roman" w:eastAsia="宋体" w:cs="Times New Roman"/>
                <w:bCs/>
                <w:szCs w:val="21"/>
              </w:rPr>
            </w:pPr>
            <w:r>
              <w:rPr>
                <w:rFonts w:ascii="Times New Roman" w:hAnsi="Times New Roman" w:eastAsia="宋体"/>
                <w:bCs/>
                <w:szCs w:val="21"/>
              </w:rPr>
              <w:t>233.03</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C6EECCB">
            <w:pPr>
              <w:tabs>
                <w:tab w:val="left" w:pos="5400"/>
              </w:tabs>
              <w:autoSpaceDE w:val="0"/>
              <w:autoSpaceDN w:val="0"/>
              <w:jc w:val="center"/>
              <w:rPr>
                <w:rFonts w:hint="default" w:ascii="Times New Roman" w:hAnsi="Times New Roman" w:eastAsia="宋体" w:cs="Times New Roman"/>
                <w:bCs/>
                <w:szCs w:val="21"/>
                <w:highlight w:val="yellow"/>
              </w:rPr>
            </w:pPr>
            <w:r>
              <w:rPr>
                <w:rFonts w:ascii="Times New Roman" w:hAnsi="Times New Roman" w:eastAsia="宋体"/>
                <w:bCs/>
                <w:szCs w:val="21"/>
              </w:rPr>
              <w:t>70.05</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256E2A6">
            <w:pPr>
              <w:tabs>
                <w:tab w:val="left" w:pos="5400"/>
              </w:tabs>
              <w:autoSpaceDE w:val="0"/>
              <w:autoSpaceDN w:val="0"/>
              <w:jc w:val="center"/>
              <w:rPr>
                <w:rFonts w:ascii="Times New Roman" w:hAnsi="Times New Roman" w:eastAsia="宋体" w:cs="Times New Roman"/>
                <w:bCs/>
                <w:szCs w:val="21"/>
                <w:highlight w:val="yellow"/>
              </w:rPr>
            </w:pPr>
            <w:r>
              <w:rPr>
                <w:rFonts w:ascii="Times New Roman" w:hAnsi="Times New Roman" w:eastAsia="宋体" w:cs="Times New Roman"/>
                <w:bCs/>
                <w:szCs w:val="21"/>
              </w:rPr>
              <w:t>28.01</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654DAD34">
            <w:pPr>
              <w:tabs>
                <w:tab w:val="left" w:pos="5400"/>
              </w:tabs>
              <w:autoSpaceDE w:val="0"/>
              <w:autoSpaceDN w:val="0"/>
              <w:jc w:val="center"/>
              <w:rPr>
                <w:rFonts w:ascii="Times New Roman" w:hAnsi="Times New Roman" w:eastAsia="宋体" w:cs="Times New Roman"/>
                <w:bCs/>
                <w:szCs w:val="21"/>
                <w:highlight w:val="yellow"/>
              </w:rPr>
            </w:pPr>
            <w:r>
              <w:rPr>
                <w:rFonts w:ascii="Times New Roman" w:hAnsi="Times New Roman" w:eastAsia="宋体" w:cs="Times New Roman"/>
                <w:bCs/>
                <w:szCs w:val="21"/>
              </w:rPr>
              <w:t>-1.40</w:t>
            </w:r>
          </w:p>
        </w:tc>
      </w:tr>
    </w:tbl>
    <w:p w14:paraId="47C89A1A">
      <w:pPr>
        <w:ind w:firstLine="480"/>
        <w:rPr>
          <w:u w:val="none"/>
        </w:rPr>
      </w:pPr>
    </w:p>
    <w:p w14:paraId="52D49C99">
      <w:pPr>
        <w:ind w:firstLine="480"/>
        <w:rPr>
          <w:u w:val="none"/>
        </w:rPr>
      </w:pPr>
      <w:r>
        <w:rPr>
          <w:u w:val="none"/>
        </w:rPr>
        <w:t>e）监测结果</w:t>
      </w:r>
    </w:p>
    <w:p w14:paraId="33AE7BB4">
      <w:pPr>
        <w:ind w:firstLine="480"/>
        <w:rPr>
          <w:u w:val="none"/>
          <w:lang w:val="zh-CN"/>
        </w:rPr>
      </w:pPr>
      <w:r>
        <w:rPr>
          <w:rFonts w:hint="eastAsia"/>
          <w:u w:val="none"/>
        </w:rPr>
        <w:t>220kV里明</w:t>
      </w:r>
      <w:r>
        <w:rPr>
          <w:u w:val="none"/>
        </w:rPr>
        <w:t>变电站工频电磁场类比监测结果列于表2.2-</w:t>
      </w:r>
      <w:r>
        <w:rPr>
          <w:rFonts w:hint="eastAsia"/>
          <w:u w:val="none"/>
          <w:lang w:val="en-US" w:eastAsia="zh-CN"/>
        </w:rPr>
        <w:t>3</w:t>
      </w:r>
      <w:r>
        <w:rPr>
          <w:u w:val="none"/>
        </w:rPr>
        <w:t>。</w:t>
      </w:r>
    </w:p>
    <w:p w14:paraId="7DEACD97">
      <w:pPr>
        <w:pStyle w:val="30"/>
        <w:spacing w:before="97" w:after="163"/>
        <w:rPr>
          <w:sz w:val="24"/>
          <w:u w:val="none"/>
          <w:lang w:val="zh-CN"/>
        </w:rPr>
      </w:pPr>
      <w:r>
        <w:rPr>
          <w:sz w:val="24"/>
          <w:u w:val="none"/>
          <w:lang w:val="zh-CN"/>
        </w:rPr>
        <w:t>表2</w:t>
      </w:r>
      <w:r>
        <w:rPr>
          <w:sz w:val="24"/>
          <w:u w:val="none"/>
        </w:rPr>
        <w:t>.2</w:t>
      </w:r>
      <w:r>
        <w:rPr>
          <w:sz w:val="24"/>
          <w:u w:val="none"/>
          <w:lang w:val="zh-CN"/>
        </w:rPr>
        <w:t>-</w:t>
      </w:r>
      <w:r>
        <w:rPr>
          <w:rFonts w:hint="eastAsia"/>
          <w:sz w:val="24"/>
          <w:u w:val="none"/>
          <w:lang w:val="en-US" w:eastAsia="zh-CN"/>
        </w:rPr>
        <w:t xml:space="preserve">3 </w:t>
      </w:r>
      <w:r>
        <w:rPr>
          <w:rFonts w:hint="eastAsia"/>
          <w:sz w:val="24"/>
          <w:u w:val="none"/>
          <w:lang w:val="zh-CN"/>
        </w:rPr>
        <w:t>220kV</w:t>
      </w:r>
      <w:r>
        <w:rPr>
          <w:rFonts w:hint="eastAsia"/>
          <w:sz w:val="24"/>
          <w:u w:val="none"/>
          <w:lang w:val="en-US" w:eastAsia="zh-CN"/>
        </w:rPr>
        <w:t>里明</w:t>
      </w:r>
      <w:r>
        <w:rPr>
          <w:sz w:val="24"/>
          <w:u w:val="none"/>
          <w:lang w:val="zh-CN"/>
        </w:rPr>
        <w:t>变电站工频电、磁场类比测量结果</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335"/>
        <w:gridCol w:w="1412"/>
        <w:gridCol w:w="1358"/>
        <w:gridCol w:w="1315"/>
      </w:tblGrid>
      <w:tr w14:paraId="635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463" w:type="pct"/>
            <w:noWrap w:val="0"/>
            <w:vAlign w:val="center"/>
          </w:tcPr>
          <w:p w14:paraId="0A0868FA">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测量点位</w:t>
            </w:r>
          </w:p>
        </w:tc>
        <w:tc>
          <w:tcPr>
            <w:tcW w:w="2336" w:type="pct"/>
            <w:noWrap w:val="0"/>
            <w:vAlign w:val="center"/>
          </w:tcPr>
          <w:p w14:paraId="2D404688">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测点位置</w:t>
            </w:r>
          </w:p>
        </w:tc>
        <w:tc>
          <w:tcPr>
            <w:tcW w:w="761" w:type="pct"/>
            <w:noWrap w:val="0"/>
            <w:vAlign w:val="center"/>
          </w:tcPr>
          <w:p w14:paraId="1B15394B">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工频电场强度</w:t>
            </w:r>
          </w:p>
          <w:p w14:paraId="58037232">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（V/m）</w:t>
            </w:r>
          </w:p>
        </w:tc>
        <w:tc>
          <w:tcPr>
            <w:tcW w:w="732" w:type="pct"/>
            <w:noWrap w:val="0"/>
            <w:vAlign w:val="center"/>
          </w:tcPr>
          <w:p w14:paraId="653F0EB3">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工频磁感应强度(μT)</w:t>
            </w:r>
          </w:p>
        </w:tc>
        <w:tc>
          <w:tcPr>
            <w:tcW w:w="705" w:type="pct"/>
            <w:noWrap w:val="0"/>
            <w:vAlign w:val="center"/>
          </w:tcPr>
          <w:p w14:paraId="79180449">
            <w:pPr>
              <w:pStyle w:val="7"/>
              <w:keepNext w:val="0"/>
              <w:keepLines w:val="0"/>
              <w:pageBreakBefore w:val="0"/>
              <w:widowControl w:val="0"/>
              <w:kinsoku/>
              <w:wordWrap/>
              <w:overflowPunct/>
              <w:topLinePunct w:val="0"/>
              <w:autoSpaceDE/>
              <w:autoSpaceDN/>
              <w:bidi w:val="0"/>
              <w:adjustRightInd/>
              <w:snapToGrid/>
              <w:spacing w:before="0" w:after="0" w:line="240" w:lineRule="auto"/>
              <w:ind w:left="-24" w:leftChars="-10" w:right="-24" w:rightChars="-10"/>
              <w:jc w:val="center"/>
              <w:textAlignment w:val="auto"/>
              <w:rPr>
                <w:rFonts w:ascii="Times New Roman" w:hAnsi="Times New Roman" w:eastAsia="宋体" w:cs="Times New Roman"/>
                <w:b/>
                <w:sz w:val="21"/>
                <w:szCs w:val="21"/>
              </w:rPr>
            </w:pPr>
            <w:r>
              <w:rPr>
                <w:rFonts w:ascii="Times New Roman" w:hAnsi="Times New Roman" w:eastAsia="宋体" w:cs="Times New Roman"/>
                <w:b/>
                <w:sz w:val="21"/>
                <w:szCs w:val="21"/>
              </w:rPr>
              <w:t>备注</w:t>
            </w:r>
          </w:p>
        </w:tc>
      </w:tr>
      <w:tr w14:paraId="5C51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14:paraId="7E668AF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（一）变电站厂界监测点</w:t>
            </w:r>
            <w:r>
              <w:rPr>
                <w:rFonts w:hint="default" w:ascii="Times New Roman" w:hAnsi="Times New Roman" w:eastAsia="宋体" w:cs="Times New Roman"/>
                <w:b/>
                <w:bCs/>
                <w:szCs w:val="21"/>
              </w:rPr>
              <w:t>监测结果</w:t>
            </w:r>
          </w:p>
        </w:tc>
      </w:tr>
      <w:tr w14:paraId="1C83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3967D4A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1</w:t>
            </w:r>
          </w:p>
        </w:tc>
        <w:tc>
          <w:tcPr>
            <w:tcW w:w="2336" w:type="pct"/>
            <w:noWrap w:val="0"/>
            <w:vAlign w:val="center"/>
          </w:tcPr>
          <w:p w14:paraId="52A20251">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220kV里明站东北侧（偏西）厂界围墙外5m</w:t>
            </w:r>
          </w:p>
        </w:tc>
        <w:tc>
          <w:tcPr>
            <w:tcW w:w="761" w:type="pct"/>
            <w:noWrap w:val="0"/>
            <w:vAlign w:val="center"/>
          </w:tcPr>
          <w:p w14:paraId="5E9F49C8">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仿宋_GB2312" w:cs="Times New Roman"/>
                <w:kern w:val="0"/>
                <w:szCs w:val="21"/>
              </w:rPr>
              <w:t>482</w:t>
            </w:r>
          </w:p>
        </w:tc>
        <w:tc>
          <w:tcPr>
            <w:tcW w:w="732" w:type="pct"/>
            <w:noWrap w:val="0"/>
            <w:vAlign w:val="center"/>
          </w:tcPr>
          <w:p w14:paraId="344889D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仿宋_GB2312" w:cs="Times New Roman"/>
                <w:kern w:val="0"/>
                <w:szCs w:val="21"/>
              </w:rPr>
              <w:t>1.10</w:t>
            </w:r>
          </w:p>
        </w:tc>
        <w:tc>
          <w:tcPr>
            <w:tcW w:w="705" w:type="pct"/>
            <w:noWrap w:val="0"/>
            <w:vAlign w:val="center"/>
          </w:tcPr>
          <w:p w14:paraId="003E2C0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14:paraId="702B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3AF7CE4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2</w:t>
            </w:r>
          </w:p>
        </w:tc>
        <w:tc>
          <w:tcPr>
            <w:tcW w:w="2336" w:type="pct"/>
            <w:noWrap w:val="0"/>
            <w:vAlign w:val="center"/>
          </w:tcPr>
          <w:p w14:paraId="63ADB57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220kV里明站东北侧（偏东）厂界围墙外5m</w:t>
            </w:r>
          </w:p>
        </w:tc>
        <w:tc>
          <w:tcPr>
            <w:tcW w:w="761" w:type="pct"/>
            <w:noWrap w:val="0"/>
            <w:vAlign w:val="center"/>
          </w:tcPr>
          <w:p w14:paraId="5E0554F5">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仿宋_GB2312" w:cs="Times New Roman"/>
                <w:kern w:val="0"/>
                <w:szCs w:val="21"/>
              </w:rPr>
              <w:t>353</w:t>
            </w:r>
          </w:p>
        </w:tc>
        <w:tc>
          <w:tcPr>
            <w:tcW w:w="732" w:type="pct"/>
            <w:noWrap w:val="0"/>
            <w:vAlign w:val="center"/>
          </w:tcPr>
          <w:p w14:paraId="09E6EBC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szCs w:val="21"/>
              </w:rPr>
            </w:pPr>
            <w:r>
              <w:rPr>
                <w:rFonts w:ascii="Times New Roman" w:hAnsi="Times New Roman" w:eastAsia="仿宋_GB2312" w:cs="Times New Roman"/>
                <w:kern w:val="0"/>
                <w:szCs w:val="21"/>
              </w:rPr>
              <w:t>0.378</w:t>
            </w:r>
          </w:p>
        </w:tc>
        <w:tc>
          <w:tcPr>
            <w:tcW w:w="705" w:type="pct"/>
            <w:noWrap w:val="0"/>
            <w:vAlign w:val="center"/>
          </w:tcPr>
          <w:p w14:paraId="7F1ECB3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14:paraId="023D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1AF2307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3</w:t>
            </w:r>
          </w:p>
        </w:tc>
        <w:tc>
          <w:tcPr>
            <w:tcW w:w="2336" w:type="pct"/>
            <w:noWrap w:val="0"/>
            <w:vAlign w:val="center"/>
          </w:tcPr>
          <w:p w14:paraId="6563CA6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220kV里明站东南侧（偏北）厂界围墙外5m</w:t>
            </w:r>
          </w:p>
        </w:tc>
        <w:tc>
          <w:tcPr>
            <w:tcW w:w="761" w:type="pct"/>
            <w:noWrap w:val="0"/>
            <w:vAlign w:val="center"/>
          </w:tcPr>
          <w:p w14:paraId="6065615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szCs w:val="21"/>
              </w:rPr>
            </w:pPr>
            <w:r>
              <w:rPr>
                <w:rFonts w:ascii="Times New Roman" w:hAnsi="Times New Roman" w:eastAsia="仿宋_GB2312" w:cs="Times New Roman"/>
                <w:kern w:val="0"/>
                <w:szCs w:val="21"/>
              </w:rPr>
              <w:t>161</w:t>
            </w:r>
          </w:p>
        </w:tc>
        <w:tc>
          <w:tcPr>
            <w:tcW w:w="732" w:type="pct"/>
            <w:noWrap w:val="0"/>
            <w:vAlign w:val="center"/>
          </w:tcPr>
          <w:p w14:paraId="61CCD26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szCs w:val="21"/>
              </w:rPr>
            </w:pPr>
            <w:r>
              <w:rPr>
                <w:rFonts w:ascii="Times New Roman" w:hAnsi="Times New Roman" w:eastAsia="仿宋_GB2312" w:cs="Times New Roman"/>
                <w:kern w:val="0"/>
                <w:szCs w:val="21"/>
              </w:rPr>
              <w:t>0.0830</w:t>
            </w:r>
          </w:p>
        </w:tc>
        <w:tc>
          <w:tcPr>
            <w:tcW w:w="705" w:type="pct"/>
            <w:noWrap w:val="0"/>
            <w:vAlign w:val="center"/>
          </w:tcPr>
          <w:p w14:paraId="559A6E61">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14:paraId="01C0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3EF194D8">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4</w:t>
            </w:r>
          </w:p>
        </w:tc>
        <w:tc>
          <w:tcPr>
            <w:tcW w:w="2336" w:type="pct"/>
            <w:noWrap w:val="0"/>
            <w:vAlign w:val="center"/>
          </w:tcPr>
          <w:p w14:paraId="2F2D128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220kV里明站东南侧（偏南）厂界围墙外5m</w:t>
            </w:r>
          </w:p>
        </w:tc>
        <w:tc>
          <w:tcPr>
            <w:tcW w:w="761" w:type="pct"/>
            <w:noWrap w:val="0"/>
            <w:vAlign w:val="center"/>
          </w:tcPr>
          <w:p w14:paraId="4CF38113">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仿宋_GB2312" w:cs="Times New Roman"/>
                <w:kern w:val="0"/>
                <w:szCs w:val="21"/>
              </w:rPr>
              <w:t>1.52</w:t>
            </w:r>
          </w:p>
        </w:tc>
        <w:tc>
          <w:tcPr>
            <w:tcW w:w="732" w:type="pct"/>
            <w:noWrap w:val="0"/>
            <w:vAlign w:val="center"/>
          </w:tcPr>
          <w:p w14:paraId="57F2523F">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szCs w:val="21"/>
              </w:rPr>
            </w:pPr>
            <w:r>
              <w:rPr>
                <w:rFonts w:ascii="Times New Roman" w:hAnsi="Times New Roman" w:eastAsia="仿宋_GB2312" w:cs="Times New Roman"/>
                <w:kern w:val="0"/>
                <w:szCs w:val="21"/>
              </w:rPr>
              <w:t>0.102</w:t>
            </w:r>
          </w:p>
        </w:tc>
        <w:tc>
          <w:tcPr>
            <w:tcW w:w="705" w:type="pct"/>
            <w:noWrap w:val="0"/>
            <w:vAlign w:val="center"/>
          </w:tcPr>
          <w:p w14:paraId="32269994">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r>
      <w:tr w14:paraId="7D2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4E932134">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5</w:t>
            </w:r>
          </w:p>
        </w:tc>
        <w:tc>
          <w:tcPr>
            <w:tcW w:w="2336" w:type="pct"/>
            <w:noWrap w:val="0"/>
            <w:vAlign w:val="center"/>
          </w:tcPr>
          <w:p w14:paraId="42663A7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220kV里明站西南侧（偏东）厂界围墙外5m</w:t>
            </w:r>
          </w:p>
        </w:tc>
        <w:tc>
          <w:tcPr>
            <w:tcW w:w="761" w:type="pct"/>
            <w:noWrap w:val="0"/>
            <w:vAlign w:val="center"/>
          </w:tcPr>
          <w:p w14:paraId="7EE9FE3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cs="Times New Roman"/>
                <w:color w:val="000000"/>
                <w:szCs w:val="21"/>
              </w:rPr>
              <w:t>8.70</w:t>
            </w:r>
          </w:p>
        </w:tc>
        <w:tc>
          <w:tcPr>
            <w:tcW w:w="732" w:type="pct"/>
            <w:noWrap w:val="0"/>
            <w:vAlign w:val="center"/>
          </w:tcPr>
          <w:p w14:paraId="6246D6A3">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szCs w:val="21"/>
              </w:rPr>
            </w:pPr>
            <w:r>
              <w:rPr>
                <w:rFonts w:ascii="Times New Roman" w:hAnsi="Times New Roman" w:cs="Times New Roman"/>
                <w:color w:val="000000"/>
                <w:szCs w:val="21"/>
              </w:rPr>
              <w:t>0.0430</w:t>
            </w:r>
          </w:p>
        </w:tc>
        <w:tc>
          <w:tcPr>
            <w:tcW w:w="705" w:type="pct"/>
            <w:noWrap w:val="0"/>
            <w:vAlign w:val="center"/>
          </w:tcPr>
          <w:p w14:paraId="6F701F4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r>
              <w:rPr>
                <w:rFonts w:ascii="Times New Roman" w:hAnsi="Times New Roman" w:eastAsia="仿宋_GB2312" w:cs="Times New Roman"/>
                <w:kern w:val="0"/>
                <w:szCs w:val="21"/>
              </w:rPr>
              <w:t>/</w:t>
            </w:r>
          </w:p>
        </w:tc>
      </w:tr>
      <w:tr w14:paraId="6949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694308B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6</w:t>
            </w:r>
          </w:p>
        </w:tc>
        <w:tc>
          <w:tcPr>
            <w:tcW w:w="2336" w:type="pct"/>
            <w:noWrap w:val="0"/>
            <w:vAlign w:val="center"/>
          </w:tcPr>
          <w:p w14:paraId="79C6632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220kV里明站西南侧（偏西）厂界围墙外5m</w:t>
            </w:r>
          </w:p>
        </w:tc>
        <w:tc>
          <w:tcPr>
            <w:tcW w:w="761" w:type="pct"/>
            <w:noWrap w:val="0"/>
            <w:vAlign w:val="center"/>
          </w:tcPr>
          <w:p w14:paraId="4530CEC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cs="Times New Roman"/>
                <w:color w:val="000000"/>
                <w:szCs w:val="21"/>
              </w:rPr>
              <w:t>46.3</w:t>
            </w:r>
          </w:p>
        </w:tc>
        <w:tc>
          <w:tcPr>
            <w:tcW w:w="732" w:type="pct"/>
            <w:noWrap w:val="0"/>
            <w:vAlign w:val="center"/>
          </w:tcPr>
          <w:p w14:paraId="2CB0812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cs="Times New Roman"/>
                <w:color w:val="000000"/>
                <w:szCs w:val="21"/>
              </w:rPr>
              <w:t>0.0539</w:t>
            </w:r>
          </w:p>
        </w:tc>
        <w:tc>
          <w:tcPr>
            <w:tcW w:w="705" w:type="pct"/>
            <w:noWrap w:val="0"/>
            <w:vAlign w:val="center"/>
          </w:tcPr>
          <w:p w14:paraId="5C2275E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r>
              <w:rPr>
                <w:rFonts w:ascii="Times New Roman" w:hAnsi="Times New Roman" w:eastAsia="仿宋_GB2312" w:cs="Times New Roman"/>
                <w:kern w:val="0"/>
                <w:szCs w:val="21"/>
              </w:rPr>
              <w:t>/</w:t>
            </w:r>
          </w:p>
        </w:tc>
      </w:tr>
      <w:tr w14:paraId="270B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04934E64">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7</w:t>
            </w:r>
          </w:p>
        </w:tc>
        <w:tc>
          <w:tcPr>
            <w:tcW w:w="2336" w:type="pct"/>
            <w:noWrap w:val="0"/>
            <w:vAlign w:val="center"/>
          </w:tcPr>
          <w:p w14:paraId="704F4463">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220kV里明站西北侧（偏南）厂界围墙外5m</w:t>
            </w:r>
          </w:p>
        </w:tc>
        <w:tc>
          <w:tcPr>
            <w:tcW w:w="761" w:type="pct"/>
            <w:noWrap w:val="0"/>
            <w:vAlign w:val="center"/>
          </w:tcPr>
          <w:p w14:paraId="754B47B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cs="Times New Roman"/>
                <w:color w:val="000000"/>
                <w:szCs w:val="21"/>
              </w:rPr>
              <w:t>644</w:t>
            </w:r>
          </w:p>
        </w:tc>
        <w:tc>
          <w:tcPr>
            <w:tcW w:w="732" w:type="pct"/>
            <w:noWrap w:val="0"/>
            <w:vAlign w:val="center"/>
          </w:tcPr>
          <w:p w14:paraId="31E74976">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cs="Times New Roman"/>
                <w:color w:val="000000"/>
                <w:szCs w:val="21"/>
              </w:rPr>
              <w:t>0.559</w:t>
            </w:r>
          </w:p>
        </w:tc>
        <w:tc>
          <w:tcPr>
            <w:tcW w:w="705" w:type="pct"/>
            <w:noWrap w:val="0"/>
            <w:vAlign w:val="center"/>
          </w:tcPr>
          <w:p w14:paraId="2A32587F">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r>
              <w:rPr>
                <w:rFonts w:ascii="Times New Roman" w:hAnsi="Times New Roman" w:eastAsia="仿宋_GB2312" w:cs="Times New Roman"/>
                <w:kern w:val="0"/>
                <w:szCs w:val="21"/>
              </w:rPr>
              <w:t>/</w:t>
            </w:r>
          </w:p>
        </w:tc>
      </w:tr>
      <w:tr w14:paraId="754C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noWrap w:val="0"/>
            <w:vAlign w:val="center"/>
          </w:tcPr>
          <w:p w14:paraId="22F6753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ascii="Times New Roman" w:hAnsi="Times New Roman" w:eastAsia="宋体" w:cs="Times New Roman"/>
                <w:szCs w:val="21"/>
              </w:rPr>
              <w:t>D</w:t>
            </w:r>
            <w:r>
              <w:rPr>
                <w:rFonts w:hint="default" w:ascii="Times New Roman" w:hAnsi="Times New Roman" w:eastAsia="宋体" w:cs="Times New Roman"/>
                <w:szCs w:val="21"/>
              </w:rPr>
              <w:t>8</w:t>
            </w:r>
          </w:p>
        </w:tc>
        <w:tc>
          <w:tcPr>
            <w:tcW w:w="2336" w:type="pct"/>
            <w:noWrap w:val="0"/>
            <w:vAlign w:val="center"/>
          </w:tcPr>
          <w:p w14:paraId="0D2655D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cs="Times New Roman"/>
                <w:szCs w:val="21"/>
              </w:rPr>
              <w:t>220kV里明站西北侧（偏北）厂界围墙外5m</w:t>
            </w:r>
          </w:p>
        </w:tc>
        <w:tc>
          <w:tcPr>
            <w:tcW w:w="761" w:type="pct"/>
            <w:noWrap w:val="0"/>
            <w:vAlign w:val="center"/>
          </w:tcPr>
          <w:p w14:paraId="3DE0B95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szCs w:val="21"/>
              </w:rPr>
            </w:pPr>
            <w:r>
              <w:rPr>
                <w:rFonts w:ascii="Times New Roman" w:hAnsi="Times New Roman" w:cs="Times New Roman"/>
                <w:color w:val="000000"/>
                <w:szCs w:val="21"/>
              </w:rPr>
              <w:t>345</w:t>
            </w:r>
          </w:p>
        </w:tc>
        <w:tc>
          <w:tcPr>
            <w:tcW w:w="732" w:type="pct"/>
            <w:noWrap w:val="0"/>
            <w:vAlign w:val="center"/>
          </w:tcPr>
          <w:p w14:paraId="64C75F4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szCs w:val="21"/>
              </w:rPr>
            </w:pPr>
            <w:r>
              <w:rPr>
                <w:rFonts w:ascii="Times New Roman" w:hAnsi="Times New Roman" w:cs="Times New Roman"/>
                <w:color w:val="000000"/>
                <w:szCs w:val="21"/>
              </w:rPr>
              <w:t>0.342</w:t>
            </w:r>
          </w:p>
        </w:tc>
        <w:tc>
          <w:tcPr>
            <w:tcW w:w="705" w:type="pct"/>
            <w:noWrap w:val="0"/>
            <w:vAlign w:val="center"/>
          </w:tcPr>
          <w:p w14:paraId="02C8B77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r>
              <w:rPr>
                <w:rFonts w:ascii="Times New Roman" w:hAnsi="Times New Roman" w:eastAsia="仿宋_GB2312" w:cs="Times New Roman"/>
                <w:kern w:val="0"/>
                <w:szCs w:val="21"/>
              </w:rPr>
              <w:t>/</w:t>
            </w:r>
          </w:p>
        </w:tc>
      </w:tr>
      <w:tr w14:paraId="3A34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14:paraId="174E5461">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（二）变电站衰减监测断面的</w:t>
            </w:r>
            <w:r>
              <w:rPr>
                <w:rFonts w:hint="default" w:ascii="Times New Roman" w:hAnsi="Times New Roman" w:eastAsia="宋体" w:cs="Times New Roman"/>
                <w:b/>
                <w:bCs/>
                <w:szCs w:val="21"/>
              </w:rPr>
              <w:t>监测结果</w:t>
            </w:r>
          </w:p>
        </w:tc>
      </w:tr>
      <w:tr w14:paraId="6C27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restart"/>
            <w:noWrap w:val="0"/>
            <w:vAlign w:val="center"/>
          </w:tcPr>
          <w:p w14:paraId="66E92948">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bCs/>
                <w:szCs w:val="21"/>
              </w:rPr>
              <w:t xml:space="preserve">D10 </w:t>
            </w:r>
            <w:r>
              <w:rPr>
                <w:rFonts w:hint="default" w:ascii="Times New Roman" w:hAnsi="Times New Roman" w:cs="Times New Roman"/>
                <w:szCs w:val="21"/>
              </w:rPr>
              <w:t>220kV里明站西南侧围墙衰减断面</w:t>
            </w:r>
          </w:p>
        </w:tc>
        <w:tc>
          <w:tcPr>
            <w:tcW w:w="2336" w:type="pct"/>
            <w:noWrap w:val="0"/>
            <w:vAlign w:val="center"/>
          </w:tcPr>
          <w:p w14:paraId="7C11B37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bCs/>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南侧围墙外5m</w:t>
            </w:r>
          </w:p>
        </w:tc>
        <w:tc>
          <w:tcPr>
            <w:tcW w:w="761" w:type="pct"/>
            <w:noWrap w:val="0"/>
            <w:vAlign w:val="center"/>
          </w:tcPr>
          <w:p w14:paraId="59CCC533">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11.3</w:t>
            </w:r>
          </w:p>
        </w:tc>
        <w:tc>
          <w:tcPr>
            <w:tcW w:w="732" w:type="pct"/>
            <w:noWrap w:val="0"/>
            <w:vAlign w:val="center"/>
          </w:tcPr>
          <w:p w14:paraId="728ADD2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0.0294</w:t>
            </w:r>
          </w:p>
        </w:tc>
        <w:tc>
          <w:tcPr>
            <w:tcW w:w="705" w:type="pct"/>
            <w:vMerge w:val="restart"/>
            <w:noWrap w:val="0"/>
            <w:vAlign w:val="center"/>
          </w:tcPr>
          <w:p w14:paraId="7E460A5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宋体" w:cs="Times New Roman"/>
                <w:szCs w:val="21"/>
              </w:rPr>
              <w:t>受110kV大里</w:t>
            </w:r>
            <w:r>
              <w:rPr>
                <w:rFonts w:ascii="宋体" w:hAnsi="宋体" w:eastAsia="宋体"/>
                <w:szCs w:val="21"/>
              </w:rPr>
              <w:t>Ⅰ</w:t>
            </w:r>
            <w:r>
              <w:rPr>
                <w:rFonts w:ascii="Times New Roman" w:hAnsi="Times New Roman" w:eastAsia="宋体" w:cs="Times New Roman"/>
                <w:szCs w:val="21"/>
              </w:rPr>
              <w:t>线影响，故未随着距离严格递减</w:t>
            </w:r>
          </w:p>
        </w:tc>
      </w:tr>
      <w:tr w14:paraId="758F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7DC00F4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6795951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南侧围墙外10m</w:t>
            </w:r>
          </w:p>
        </w:tc>
        <w:tc>
          <w:tcPr>
            <w:tcW w:w="761" w:type="pct"/>
            <w:noWrap w:val="0"/>
            <w:vAlign w:val="center"/>
          </w:tcPr>
          <w:p w14:paraId="5D5CD3F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12.0</w:t>
            </w:r>
          </w:p>
        </w:tc>
        <w:tc>
          <w:tcPr>
            <w:tcW w:w="732" w:type="pct"/>
            <w:noWrap w:val="0"/>
            <w:vAlign w:val="center"/>
          </w:tcPr>
          <w:p w14:paraId="4FB5F2B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0.0289</w:t>
            </w:r>
          </w:p>
        </w:tc>
        <w:tc>
          <w:tcPr>
            <w:tcW w:w="705" w:type="pct"/>
            <w:vMerge w:val="continue"/>
            <w:noWrap w:val="0"/>
            <w:vAlign w:val="center"/>
          </w:tcPr>
          <w:p w14:paraId="091D6B4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p>
        </w:tc>
      </w:tr>
      <w:tr w14:paraId="5733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175E58FF">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43D6457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南侧围墙外15m</w:t>
            </w:r>
          </w:p>
        </w:tc>
        <w:tc>
          <w:tcPr>
            <w:tcW w:w="761" w:type="pct"/>
            <w:noWrap w:val="0"/>
            <w:vAlign w:val="center"/>
          </w:tcPr>
          <w:p w14:paraId="7FAFD6FC">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12.7</w:t>
            </w:r>
          </w:p>
        </w:tc>
        <w:tc>
          <w:tcPr>
            <w:tcW w:w="732" w:type="pct"/>
            <w:noWrap w:val="0"/>
            <w:vAlign w:val="center"/>
          </w:tcPr>
          <w:p w14:paraId="52170C65">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0.0281</w:t>
            </w:r>
          </w:p>
        </w:tc>
        <w:tc>
          <w:tcPr>
            <w:tcW w:w="705" w:type="pct"/>
            <w:vMerge w:val="continue"/>
            <w:noWrap w:val="0"/>
            <w:vAlign w:val="center"/>
          </w:tcPr>
          <w:p w14:paraId="4A90296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p>
        </w:tc>
      </w:tr>
      <w:tr w14:paraId="2FD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3" w:type="pct"/>
            <w:vMerge w:val="continue"/>
            <w:noWrap w:val="0"/>
            <w:vAlign w:val="center"/>
          </w:tcPr>
          <w:p w14:paraId="1D5C2A0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050C7B6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南侧围墙外20m</w:t>
            </w:r>
          </w:p>
        </w:tc>
        <w:tc>
          <w:tcPr>
            <w:tcW w:w="761" w:type="pct"/>
            <w:noWrap w:val="0"/>
            <w:vAlign w:val="center"/>
          </w:tcPr>
          <w:p w14:paraId="680663B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13.1</w:t>
            </w:r>
          </w:p>
        </w:tc>
        <w:tc>
          <w:tcPr>
            <w:tcW w:w="732" w:type="pct"/>
            <w:noWrap w:val="0"/>
            <w:vAlign w:val="center"/>
          </w:tcPr>
          <w:p w14:paraId="27FE75F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eastAsia="仿宋_GB2312" w:cs="Times New Roman"/>
                <w:kern w:val="0"/>
                <w:szCs w:val="21"/>
              </w:rPr>
              <w:t>0.0272</w:t>
            </w:r>
          </w:p>
        </w:tc>
        <w:tc>
          <w:tcPr>
            <w:tcW w:w="705" w:type="pct"/>
            <w:vMerge w:val="continue"/>
            <w:noWrap w:val="0"/>
            <w:vAlign w:val="center"/>
          </w:tcPr>
          <w:p w14:paraId="75D07961">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仿宋_GB2312" w:cs="Times New Roman"/>
                <w:kern w:val="0"/>
                <w:szCs w:val="21"/>
              </w:rPr>
            </w:pPr>
          </w:p>
        </w:tc>
      </w:tr>
      <w:tr w14:paraId="3836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35D35064">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1D64FB1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南侧围墙外25m</w:t>
            </w:r>
          </w:p>
        </w:tc>
        <w:tc>
          <w:tcPr>
            <w:tcW w:w="761" w:type="pct"/>
            <w:noWrap w:val="0"/>
            <w:vAlign w:val="center"/>
          </w:tcPr>
          <w:p w14:paraId="5C1131F5">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kern w:val="0"/>
                <w:szCs w:val="21"/>
              </w:rPr>
            </w:pPr>
            <w:r>
              <w:rPr>
                <w:rFonts w:ascii="Times New Roman" w:hAnsi="Times New Roman" w:cs="Times New Roman"/>
                <w:color w:val="000000"/>
                <w:szCs w:val="21"/>
              </w:rPr>
              <w:t>13.0</w:t>
            </w:r>
          </w:p>
        </w:tc>
        <w:tc>
          <w:tcPr>
            <w:tcW w:w="732" w:type="pct"/>
            <w:noWrap w:val="0"/>
            <w:vAlign w:val="center"/>
          </w:tcPr>
          <w:p w14:paraId="0B3849DC">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0.0269</w:t>
            </w:r>
          </w:p>
        </w:tc>
        <w:tc>
          <w:tcPr>
            <w:tcW w:w="705" w:type="pct"/>
            <w:vMerge w:val="continue"/>
            <w:noWrap w:val="0"/>
            <w:vAlign w:val="center"/>
          </w:tcPr>
          <w:p w14:paraId="1685CD15">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r w14:paraId="203D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04DD1F5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508CDEC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南侧围墙外30m</w:t>
            </w:r>
          </w:p>
        </w:tc>
        <w:tc>
          <w:tcPr>
            <w:tcW w:w="761" w:type="pct"/>
            <w:noWrap w:val="0"/>
            <w:vAlign w:val="center"/>
          </w:tcPr>
          <w:p w14:paraId="15460DF1">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12.3</w:t>
            </w:r>
          </w:p>
        </w:tc>
        <w:tc>
          <w:tcPr>
            <w:tcW w:w="732" w:type="pct"/>
            <w:noWrap w:val="0"/>
            <w:vAlign w:val="center"/>
          </w:tcPr>
          <w:p w14:paraId="1B8A195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0.0355</w:t>
            </w:r>
          </w:p>
        </w:tc>
        <w:tc>
          <w:tcPr>
            <w:tcW w:w="705" w:type="pct"/>
            <w:vMerge w:val="continue"/>
            <w:noWrap w:val="0"/>
            <w:vAlign w:val="center"/>
          </w:tcPr>
          <w:p w14:paraId="7960065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r w14:paraId="6D51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301A85F5">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7D70130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南侧围墙外35m</w:t>
            </w:r>
          </w:p>
        </w:tc>
        <w:tc>
          <w:tcPr>
            <w:tcW w:w="761" w:type="pct"/>
            <w:noWrap w:val="0"/>
            <w:vAlign w:val="center"/>
          </w:tcPr>
          <w:p w14:paraId="5659DA5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kern w:val="0"/>
                <w:szCs w:val="21"/>
              </w:rPr>
            </w:pPr>
            <w:r>
              <w:rPr>
                <w:rFonts w:ascii="Times New Roman" w:hAnsi="Times New Roman" w:cs="Times New Roman"/>
                <w:color w:val="000000"/>
                <w:szCs w:val="21"/>
              </w:rPr>
              <w:t>12.1</w:t>
            </w:r>
          </w:p>
        </w:tc>
        <w:tc>
          <w:tcPr>
            <w:tcW w:w="732" w:type="pct"/>
            <w:noWrap w:val="0"/>
            <w:vAlign w:val="center"/>
          </w:tcPr>
          <w:p w14:paraId="18C4D27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0.0461</w:t>
            </w:r>
          </w:p>
        </w:tc>
        <w:tc>
          <w:tcPr>
            <w:tcW w:w="705" w:type="pct"/>
            <w:vMerge w:val="continue"/>
            <w:noWrap w:val="0"/>
            <w:vAlign w:val="center"/>
          </w:tcPr>
          <w:p w14:paraId="26301AAF">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r w14:paraId="1D57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100AFE36">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687303FD">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南侧围墙外40m</w:t>
            </w:r>
          </w:p>
        </w:tc>
        <w:tc>
          <w:tcPr>
            <w:tcW w:w="761" w:type="pct"/>
            <w:noWrap w:val="0"/>
            <w:vAlign w:val="center"/>
          </w:tcPr>
          <w:p w14:paraId="5275EFE7">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kern w:val="0"/>
                <w:szCs w:val="21"/>
              </w:rPr>
            </w:pPr>
            <w:r>
              <w:rPr>
                <w:rFonts w:ascii="Times New Roman" w:hAnsi="Times New Roman" w:cs="Times New Roman"/>
                <w:color w:val="000000"/>
                <w:szCs w:val="21"/>
              </w:rPr>
              <w:t>11.8</w:t>
            </w:r>
          </w:p>
        </w:tc>
        <w:tc>
          <w:tcPr>
            <w:tcW w:w="732" w:type="pct"/>
            <w:noWrap w:val="0"/>
            <w:vAlign w:val="center"/>
          </w:tcPr>
          <w:p w14:paraId="6B3CA69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0.0418</w:t>
            </w:r>
          </w:p>
        </w:tc>
        <w:tc>
          <w:tcPr>
            <w:tcW w:w="705" w:type="pct"/>
            <w:vMerge w:val="continue"/>
            <w:noWrap w:val="0"/>
            <w:vAlign w:val="center"/>
          </w:tcPr>
          <w:p w14:paraId="02E363E9">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r w14:paraId="3AC9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6C0BC70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454CBCDB">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南侧围墙外45m</w:t>
            </w:r>
          </w:p>
        </w:tc>
        <w:tc>
          <w:tcPr>
            <w:tcW w:w="761" w:type="pct"/>
            <w:noWrap w:val="0"/>
            <w:vAlign w:val="center"/>
          </w:tcPr>
          <w:p w14:paraId="681005FF">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11.0</w:t>
            </w:r>
          </w:p>
        </w:tc>
        <w:tc>
          <w:tcPr>
            <w:tcW w:w="732" w:type="pct"/>
            <w:noWrap w:val="0"/>
            <w:vAlign w:val="center"/>
          </w:tcPr>
          <w:p w14:paraId="6130ADE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0.0365</w:t>
            </w:r>
          </w:p>
        </w:tc>
        <w:tc>
          <w:tcPr>
            <w:tcW w:w="705" w:type="pct"/>
            <w:vMerge w:val="continue"/>
            <w:noWrap w:val="0"/>
            <w:vAlign w:val="center"/>
          </w:tcPr>
          <w:p w14:paraId="4E80A8CE">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r w14:paraId="2ACD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pct"/>
            <w:vMerge w:val="continue"/>
            <w:noWrap w:val="0"/>
            <w:vAlign w:val="center"/>
          </w:tcPr>
          <w:p w14:paraId="6A16DFCA">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p>
        </w:tc>
        <w:tc>
          <w:tcPr>
            <w:tcW w:w="2336" w:type="pct"/>
            <w:noWrap w:val="0"/>
            <w:vAlign w:val="center"/>
          </w:tcPr>
          <w:p w14:paraId="463BEA02">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220kV里明变电站</w:t>
            </w:r>
            <w:r>
              <w:rPr>
                <w:rFonts w:hint="default" w:ascii="Times New Roman" w:hAnsi="Times New Roman" w:cs="Times New Roman"/>
                <w:szCs w:val="21"/>
              </w:rPr>
              <w:t>西</w:t>
            </w:r>
            <w:r>
              <w:rPr>
                <w:rFonts w:hint="default" w:ascii="Times New Roman" w:hAnsi="Times New Roman" w:eastAsia="宋体" w:cs="Times New Roman"/>
                <w:szCs w:val="21"/>
              </w:rPr>
              <w:t>南侧围墙外50m</w:t>
            </w:r>
          </w:p>
        </w:tc>
        <w:tc>
          <w:tcPr>
            <w:tcW w:w="761" w:type="pct"/>
            <w:noWrap w:val="0"/>
            <w:vAlign w:val="center"/>
          </w:tcPr>
          <w:p w14:paraId="78EC021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eastAsia="宋体" w:cs="Times New Roman"/>
                <w:kern w:val="0"/>
                <w:szCs w:val="21"/>
              </w:rPr>
            </w:pPr>
            <w:r>
              <w:rPr>
                <w:rFonts w:ascii="Times New Roman" w:hAnsi="Times New Roman" w:cs="Times New Roman"/>
                <w:color w:val="000000"/>
                <w:szCs w:val="21"/>
              </w:rPr>
              <w:t>10.7</w:t>
            </w:r>
          </w:p>
        </w:tc>
        <w:tc>
          <w:tcPr>
            <w:tcW w:w="732" w:type="pct"/>
            <w:noWrap w:val="0"/>
            <w:vAlign w:val="center"/>
          </w:tcPr>
          <w:p w14:paraId="4C1C826C">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hint="default" w:ascii="Times New Roman" w:hAnsi="Times New Roman" w:eastAsia="仿宋_GB2312" w:cs="Times New Roman"/>
                <w:kern w:val="0"/>
                <w:szCs w:val="21"/>
              </w:rPr>
            </w:pPr>
            <w:r>
              <w:rPr>
                <w:rFonts w:ascii="Times New Roman" w:hAnsi="Times New Roman" w:cs="Times New Roman"/>
                <w:color w:val="000000"/>
                <w:szCs w:val="21"/>
              </w:rPr>
              <w:t>0.0313</w:t>
            </w:r>
          </w:p>
        </w:tc>
        <w:tc>
          <w:tcPr>
            <w:tcW w:w="705" w:type="pct"/>
            <w:vMerge w:val="continue"/>
            <w:noWrap w:val="0"/>
            <w:vAlign w:val="center"/>
          </w:tcPr>
          <w:p w14:paraId="21BAAE90">
            <w:pPr>
              <w:keepNext w:val="0"/>
              <w:keepLines w:val="0"/>
              <w:pageBreakBefore w:val="0"/>
              <w:widowControl w:val="0"/>
              <w:kinsoku/>
              <w:wordWrap/>
              <w:overflowPunct/>
              <w:topLinePunct w:val="0"/>
              <w:autoSpaceDE/>
              <w:autoSpaceDN/>
              <w:bidi w:val="0"/>
              <w:adjustRightInd/>
              <w:snapToGrid/>
              <w:spacing w:line="240" w:lineRule="auto"/>
              <w:ind w:left="-24" w:leftChars="-10" w:right="-24" w:rightChars="-10"/>
              <w:jc w:val="center"/>
              <w:textAlignment w:val="auto"/>
              <w:rPr>
                <w:rFonts w:ascii="Times New Roman" w:hAnsi="Times New Roman" w:cs="Times New Roman"/>
                <w:color w:val="000000"/>
                <w:szCs w:val="21"/>
              </w:rPr>
            </w:pPr>
          </w:p>
        </w:tc>
      </w:tr>
    </w:tbl>
    <w:p w14:paraId="5ADBB823">
      <w:pPr>
        <w:pStyle w:val="10"/>
        <w:rPr>
          <w:rFonts w:ascii="Times New Roman" w:hAnsi="Times New Roman"/>
          <w:bCs/>
          <w:sz w:val="24"/>
          <w:szCs w:val="24"/>
          <w:u w:val="none"/>
        </w:rPr>
      </w:pPr>
    </w:p>
    <w:p w14:paraId="20CC6797">
      <w:pPr>
        <w:pStyle w:val="10"/>
        <w:rPr>
          <w:rFonts w:ascii="Times New Roman" w:hAnsi="Times New Roman"/>
          <w:bCs/>
          <w:sz w:val="24"/>
          <w:szCs w:val="24"/>
          <w:u w:val="none"/>
        </w:rPr>
      </w:pPr>
      <w:r>
        <w:rPr>
          <w:rFonts w:ascii="Times New Roman" w:hAnsi="Times New Roman"/>
          <w:bCs/>
          <w:sz w:val="24"/>
          <w:szCs w:val="24"/>
          <w:u w:val="none"/>
        </w:rPr>
        <w:t>2.2.1.3类比测量结果分析</w:t>
      </w:r>
    </w:p>
    <w:p w14:paraId="0E7754B6">
      <w:pPr>
        <w:ind w:firstLine="480"/>
        <w:rPr>
          <w:u w:val="none"/>
        </w:rPr>
      </w:pPr>
      <w:r>
        <w:rPr>
          <w:u w:val="none"/>
        </w:rPr>
        <w:t>由监测结果可知：</w:t>
      </w:r>
    </w:p>
    <w:p w14:paraId="066E70CA">
      <w:pPr>
        <w:ind w:firstLine="480"/>
        <w:rPr>
          <w:u w:val="none"/>
        </w:rPr>
      </w:pPr>
      <w:r>
        <w:rPr>
          <w:rFonts w:hint="default" w:ascii="Times New Roman" w:hAnsi="Times New Roman" w:eastAsia="宋体" w:cs="Times New Roman"/>
          <w:sz w:val="24"/>
          <w:u w:val="none"/>
        </w:rPr>
        <w:t>监测结果表明，220kV里明变电站四周围墙外5m监测点的工频电场强度监测值在</w:t>
      </w:r>
      <w:r>
        <w:rPr>
          <w:rFonts w:ascii="Times New Roman" w:hAnsi="Times New Roman" w:eastAsia="宋体" w:cs="Times New Roman"/>
          <w:sz w:val="24"/>
          <w:u w:val="none"/>
        </w:rPr>
        <w:t>1.52</w:t>
      </w:r>
      <w:r>
        <w:rPr>
          <w:rFonts w:hint="default" w:ascii="Times New Roman" w:hAnsi="Times New Roman" w:eastAsia="宋体" w:cs="Times New Roman"/>
          <w:sz w:val="24"/>
          <w:u w:val="none"/>
        </w:rPr>
        <w:t>～</w:t>
      </w:r>
      <w:r>
        <w:rPr>
          <w:rFonts w:ascii="Times New Roman" w:hAnsi="Times New Roman" w:eastAsia="宋体" w:cs="Times New Roman"/>
          <w:sz w:val="24"/>
          <w:u w:val="none"/>
        </w:rPr>
        <w:t>644</w:t>
      </w:r>
      <w:r>
        <w:rPr>
          <w:rFonts w:hint="eastAsia" w:cs="Times New Roman"/>
          <w:sz w:val="24"/>
          <w:u w:val="none"/>
          <w:lang w:val="en-US" w:eastAsia="zh-CN"/>
        </w:rPr>
        <w:t>.34</w:t>
      </w:r>
      <w:r>
        <w:rPr>
          <w:rFonts w:hint="default" w:ascii="Times New Roman" w:hAnsi="Times New Roman" w:eastAsia="宋体" w:cs="Times New Roman"/>
          <w:sz w:val="24"/>
          <w:u w:val="none"/>
        </w:rPr>
        <w:t>V/m之间，工频磁感应强度监测值在0.0</w:t>
      </w:r>
      <w:r>
        <w:rPr>
          <w:rFonts w:ascii="Times New Roman" w:hAnsi="Times New Roman" w:eastAsia="宋体" w:cs="Times New Roman"/>
          <w:sz w:val="24"/>
          <w:u w:val="none"/>
        </w:rPr>
        <w:t>430</w:t>
      </w:r>
      <w:r>
        <w:rPr>
          <w:rFonts w:hint="default" w:ascii="Times New Roman" w:hAnsi="Times New Roman" w:eastAsia="宋体" w:cs="Times New Roman"/>
          <w:sz w:val="24"/>
          <w:u w:val="none"/>
        </w:rPr>
        <w:t>～</w:t>
      </w:r>
      <w:r>
        <w:rPr>
          <w:rFonts w:ascii="Times New Roman" w:hAnsi="Times New Roman" w:eastAsia="宋体" w:cs="Times New Roman"/>
          <w:sz w:val="24"/>
          <w:u w:val="none"/>
        </w:rPr>
        <w:t>1.10</w:t>
      </w:r>
      <w:r>
        <w:rPr>
          <w:rFonts w:hint="eastAsia" w:cs="Times New Roman"/>
          <w:sz w:val="24"/>
          <w:u w:val="none"/>
          <w:lang w:val="en-US" w:eastAsia="zh-CN"/>
        </w:rPr>
        <w:t>30</w:t>
      </w:r>
      <w:r>
        <w:rPr>
          <w:rFonts w:hint="default" w:ascii="Times New Roman" w:hAnsi="Times New Roman" w:eastAsia="宋体" w:cs="Times New Roman"/>
          <w:sz w:val="24"/>
          <w:u w:val="none"/>
        </w:rPr>
        <w:t>μT之间，均低于《电磁环境控制限值》（GB8702-2014）工频电场4000V/m和工频磁场100μT的公众曝露控制限值。</w:t>
      </w:r>
    </w:p>
    <w:p w14:paraId="3678A74D">
      <w:pPr>
        <w:pStyle w:val="10"/>
        <w:rPr>
          <w:rFonts w:ascii="Times New Roman" w:hAnsi="Times New Roman"/>
          <w:bCs/>
          <w:sz w:val="24"/>
          <w:szCs w:val="24"/>
          <w:u w:val="none"/>
        </w:rPr>
      </w:pPr>
      <w:r>
        <w:rPr>
          <w:rFonts w:ascii="Times New Roman" w:hAnsi="Times New Roman"/>
          <w:bCs/>
          <w:sz w:val="24"/>
          <w:szCs w:val="24"/>
          <w:u w:val="none"/>
        </w:rPr>
        <w:t>2.2.1.4电磁环境影响评价</w:t>
      </w:r>
    </w:p>
    <w:p w14:paraId="393F4FDD">
      <w:pPr>
        <w:ind w:firstLine="480"/>
        <w:rPr>
          <w:u w:val="none"/>
        </w:rPr>
      </w:pPr>
      <w:r>
        <w:rPr>
          <w:rFonts w:hint="eastAsia"/>
          <w:bCs/>
          <w:sz w:val="24"/>
          <w:u w:val="none"/>
        </w:rPr>
        <w:t>根据类比监测结果进行分析，类比工程工频电场强度、工频磁感应强度均远低于《电磁环境控制限值》（GB8702-2014）中控制限值要求，本项目与类比对象</w:t>
      </w:r>
      <w:r>
        <w:rPr>
          <w:rFonts w:hint="eastAsia"/>
          <w:b w:val="0"/>
          <w:bCs/>
          <w:sz w:val="24"/>
          <w:highlight w:val="none"/>
          <w:u w:val="none"/>
        </w:rPr>
        <w:t>220kV</w:t>
      </w:r>
      <w:r>
        <w:rPr>
          <w:rFonts w:hint="eastAsia" w:ascii="宋体" w:hAnsi="宋体"/>
          <w:b w:val="0"/>
          <w:bCs/>
          <w:i w:val="0"/>
          <w:iCs w:val="0"/>
          <w:sz w:val="24"/>
          <w:szCs w:val="24"/>
          <w:highlight w:val="none"/>
          <w:u w:val="none"/>
          <w:lang w:val="en-US" w:eastAsia="zh-CN"/>
        </w:rPr>
        <w:t>里明</w:t>
      </w:r>
      <w:r>
        <w:rPr>
          <w:rFonts w:hint="eastAsia"/>
          <w:b w:val="0"/>
          <w:bCs/>
          <w:sz w:val="24"/>
          <w:highlight w:val="none"/>
          <w:u w:val="none"/>
          <w:lang w:val="en-US" w:eastAsia="zh-CN"/>
        </w:rPr>
        <w:t>变电站</w:t>
      </w:r>
      <w:r>
        <w:rPr>
          <w:rFonts w:hint="eastAsia"/>
          <w:bCs/>
          <w:sz w:val="24"/>
          <w:u w:val="none"/>
        </w:rPr>
        <w:t>电压等级</w:t>
      </w:r>
      <w:r>
        <w:rPr>
          <w:rFonts w:hint="eastAsia"/>
          <w:bCs/>
          <w:sz w:val="24"/>
          <w:u w:val="none"/>
          <w:lang w:eastAsia="zh-CN"/>
        </w:rPr>
        <w:t>、</w:t>
      </w:r>
      <w:r>
        <w:rPr>
          <w:rFonts w:hint="eastAsia"/>
          <w:bCs/>
          <w:sz w:val="24"/>
          <w:u w:val="none"/>
        </w:rPr>
        <w:t>主变规模、主变布置形式</w:t>
      </w:r>
      <w:r>
        <w:rPr>
          <w:rFonts w:hint="eastAsia"/>
          <w:bCs/>
          <w:sz w:val="24"/>
          <w:u w:val="none"/>
          <w:lang w:eastAsia="zh-CN"/>
        </w:rPr>
        <w:t>、</w:t>
      </w:r>
      <w:r>
        <w:rPr>
          <w:rFonts w:hint="eastAsia"/>
          <w:bCs/>
          <w:sz w:val="24"/>
          <w:u w:val="none"/>
          <w:lang w:val="en-US" w:eastAsia="zh-CN"/>
        </w:rPr>
        <w:t>环境条件</w:t>
      </w:r>
      <w:r>
        <w:rPr>
          <w:rFonts w:hint="eastAsia"/>
          <w:bCs/>
          <w:sz w:val="24"/>
          <w:u w:val="none"/>
        </w:rPr>
        <w:t>相同，</w:t>
      </w:r>
      <w:r>
        <w:rPr>
          <w:rFonts w:hint="eastAsia"/>
          <w:bCs/>
          <w:sz w:val="24"/>
          <w:szCs w:val="24"/>
          <w:u w:val="none"/>
          <w:lang w:val="en-US" w:eastAsia="zh-CN"/>
        </w:rPr>
        <w:t>出线回数和面积</w:t>
      </w:r>
      <w:r>
        <w:rPr>
          <w:rFonts w:hint="eastAsia"/>
          <w:bCs/>
          <w:sz w:val="24"/>
          <w:u w:val="none"/>
        </w:rPr>
        <w:t>相似，</w:t>
      </w:r>
      <w:r>
        <w:rPr>
          <w:rFonts w:hint="eastAsia"/>
          <w:bCs/>
          <w:sz w:val="24"/>
          <w:highlight w:val="none"/>
          <w:u w:val="none"/>
        </w:rPr>
        <w:t>类比分析可知，本项</w:t>
      </w:r>
      <w:r>
        <w:rPr>
          <w:bCs/>
          <w:sz w:val="24"/>
          <w:highlight w:val="none"/>
          <w:u w:val="none"/>
        </w:rPr>
        <w:t>目变电站建成投入运行后，对变电站周围电磁环境产生的影响在可接受范围，均能满足《电磁环境控制限值》（GB8702-2014）中</w:t>
      </w:r>
      <w:r>
        <w:rPr>
          <w:bCs/>
          <w:sz w:val="24"/>
          <w:u w:val="none"/>
        </w:rPr>
        <w:t>相应频率范围的公众曝露控制限值，即工频电场强度小于4000V/m，工频磁感应强度小于100μT的标准要</w:t>
      </w:r>
      <w:r>
        <w:rPr>
          <w:rFonts w:hint="eastAsia"/>
          <w:bCs/>
          <w:sz w:val="24"/>
          <w:u w:val="none"/>
        </w:rPr>
        <w:t>求。</w:t>
      </w:r>
    </w:p>
    <w:p w14:paraId="15A13E3C">
      <w:pPr>
        <w:ind w:firstLine="480"/>
        <w:rPr>
          <w:u w:val="none"/>
        </w:rPr>
      </w:pPr>
      <w:r>
        <w:rPr>
          <w:u w:val="none"/>
        </w:rPr>
        <w:t>本工程变电站产生的电磁环境影响与类比站相当，具有代表性。</w:t>
      </w:r>
    </w:p>
    <w:p w14:paraId="6937D4D9">
      <w:pPr>
        <w:pStyle w:val="10"/>
        <w:rPr>
          <w:rFonts w:ascii="Times New Roman" w:hAnsi="Times New Roman"/>
          <w:bCs/>
          <w:sz w:val="24"/>
          <w:szCs w:val="24"/>
          <w:u w:val="none"/>
        </w:rPr>
      </w:pPr>
      <w:r>
        <w:rPr>
          <w:rFonts w:ascii="Times New Roman" w:hAnsi="Times New Roman"/>
          <w:bCs/>
          <w:sz w:val="24"/>
          <w:szCs w:val="24"/>
          <w:u w:val="none"/>
        </w:rPr>
        <w:t>2.2.1.5对环境敏感目标影响分析</w:t>
      </w:r>
    </w:p>
    <w:p w14:paraId="38DE53ED">
      <w:pPr>
        <w:ind w:firstLine="480"/>
        <w:rPr>
          <w:u w:val="none"/>
        </w:rPr>
      </w:pPr>
      <w:r>
        <w:rPr>
          <w:u w:val="none"/>
        </w:rPr>
        <w:t>由</w:t>
      </w:r>
      <w:r>
        <w:rPr>
          <w:rFonts w:hint="eastAsia"/>
          <w:u w:val="none"/>
        </w:rPr>
        <w:t>220kV</w:t>
      </w:r>
      <w:r>
        <w:rPr>
          <w:rFonts w:hint="eastAsia"/>
          <w:u w:val="none"/>
          <w:lang w:val="en-US" w:eastAsia="zh-CN"/>
        </w:rPr>
        <w:t>里明</w:t>
      </w:r>
      <w:r>
        <w:rPr>
          <w:u w:val="none"/>
        </w:rPr>
        <w:t>变电站类比监测结果可知，</w:t>
      </w:r>
      <w:r>
        <w:rPr>
          <w:rFonts w:hint="eastAsia"/>
          <w:u w:val="none"/>
        </w:rPr>
        <w:t>220kV</w:t>
      </w:r>
      <w:r>
        <w:rPr>
          <w:rFonts w:hint="eastAsia"/>
          <w:u w:val="none"/>
          <w:lang w:val="en-US" w:eastAsia="zh-CN"/>
        </w:rPr>
        <w:t>果山</w:t>
      </w:r>
      <w:r>
        <w:rPr>
          <w:u w:val="none"/>
        </w:rPr>
        <w:t>变电站投运后，其周围的工频电场、工频磁场是完全满足标准要求的，且其周围的电磁水平较低。因工频电、磁场强度是随着距离的增加</w:t>
      </w:r>
      <w:r>
        <w:rPr>
          <w:rFonts w:hint="eastAsia"/>
          <w:u w:val="none"/>
          <w:lang w:val="en-US" w:eastAsia="zh-CN"/>
        </w:rPr>
        <w:t>整体上是</w:t>
      </w:r>
      <w:r>
        <w:rPr>
          <w:u w:val="none"/>
        </w:rPr>
        <w:t>逐渐减小</w:t>
      </w:r>
      <w:r>
        <w:rPr>
          <w:rFonts w:hint="eastAsia"/>
          <w:u w:val="none"/>
          <w:lang w:val="en-US" w:eastAsia="zh-CN"/>
        </w:rPr>
        <w:t>的趋势</w:t>
      </w:r>
      <w:r>
        <w:rPr>
          <w:u w:val="none"/>
        </w:rPr>
        <w:t>，以类比变电站工频电、磁场最大监测值作为本工程的预测值。可见</w:t>
      </w:r>
      <w:r>
        <w:rPr>
          <w:rFonts w:hint="eastAsia"/>
          <w:u w:val="none"/>
        </w:rPr>
        <w:t>220kV</w:t>
      </w:r>
      <w:r>
        <w:rPr>
          <w:rFonts w:hint="eastAsia"/>
          <w:u w:val="none"/>
          <w:lang w:val="en-US" w:eastAsia="zh-CN"/>
        </w:rPr>
        <w:t>果山</w:t>
      </w:r>
      <w:r>
        <w:rPr>
          <w:u w:val="none"/>
        </w:rPr>
        <w:t>变电站产生的工频电、磁场对环境敏感点的影响也是很小的。</w:t>
      </w:r>
    </w:p>
    <w:p w14:paraId="33634625">
      <w:pPr>
        <w:pStyle w:val="10"/>
        <w:outlineLvl w:val="0"/>
        <w:rPr>
          <w:rFonts w:ascii="Times New Roman" w:hAnsi="Times New Roman"/>
          <w:b/>
          <w:sz w:val="24"/>
          <w:szCs w:val="24"/>
          <w:u w:val="none"/>
        </w:rPr>
      </w:pPr>
      <w:bookmarkStart w:id="195" w:name="_Toc25814"/>
      <w:bookmarkStart w:id="196" w:name="_Toc29064"/>
      <w:bookmarkStart w:id="197" w:name="_Toc2494"/>
      <w:bookmarkStart w:id="198" w:name="_Toc15784"/>
      <w:bookmarkStart w:id="199" w:name="_Toc30389"/>
      <w:bookmarkStart w:id="200" w:name="_Toc24266"/>
      <w:bookmarkStart w:id="201" w:name="_Toc634"/>
      <w:bookmarkStart w:id="202" w:name="_Toc17562"/>
      <w:bookmarkStart w:id="203" w:name="_Toc28539"/>
      <w:bookmarkStart w:id="204" w:name="_Toc25250"/>
      <w:bookmarkStart w:id="205" w:name="_Toc40718567"/>
      <w:bookmarkStart w:id="206" w:name="_Toc16415"/>
      <w:bookmarkStart w:id="207" w:name="_Toc36"/>
      <w:r>
        <w:rPr>
          <w:rFonts w:ascii="Times New Roman" w:hAnsi="Times New Roman"/>
          <w:b/>
          <w:sz w:val="24"/>
          <w:szCs w:val="24"/>
          <w:u w:val="none"/>
        </w:rPr>
        <w:t>3电磁环境保护措施</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094BB5C7">
      <w:pPr>
        <w:pageBreakBefore w:val="0"/>
        <w:kinsoku/>
        <w:wordWrap/>
        <w:overflowPunct/>
        <w:topLinePunct w:val="0"/>
        <w:autoSpaceDE/>
        <w:autoSpaceDN/>
        <w:bidi w:val="0"/>
        <w:spacing w:line="360" w:lineRule="auto"/>
        <w:ind w:firstLine="480" w:firstLineChars="200"/>
        <w:textAlignment w:val="auto"/>
        <w:rPr>
          <w:sz w:val="24"/>
          <w:szCs w:val="24"/>
          <w:u w:val="none"/>
        </w:rPr>
      </w:pPr>
      <w:bookmarkStart w:id="208" w:name="_Toc1595"/>
      <w:bookmarkStart w:id="209" w:name="_Toc20326"/>
      <w:bookmarkStart w:id="210" w:name="_Toc24759"/>
      <w:bookmarkStart w:id="211" w:name="_Toc31446"/>
      <w:bookmarkStart w:id="212" w:name="_Toc24517"/>
      <w:r>
        <w:rPr>
          <w:rFonts w:hint="eastAsia"/>
          <w:sz w:val="24"/>
          <w:szCs w:val="24"/>
          <w:u w:val="none"/>
        </w:rPr>
        <w:t>（1）变电站设备在总平面布置上按功能分区进行布置。</w:t>
      </w:r>
    </w:p>
    <w:p w14:paraId="77C6E731">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（2）尽量使用能改善绝缘子表面或沿绝缘子串电压分布的保护装置。</w:t>
      </w:r>
    </w:p>
    <w:p w14:paraId="2A386F94">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（3）合理规划绿化面积，充分利用绿化树木电磁场的屏蔽作用，减轻变电站正常运行时对周边环境的影响。</w:t>
      </w:r>
    </w:p>
    <w:p w14:paraId="06E0EA24">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（4）保证变电站内高压设备、建筑物钢铁件均接地良好，所有设备导电元件间接触部分均连接紧密，对大功率设备采取必要的屏蔽，将设备连接口和连接处密封。</w:t>
      </w:r>
    </w:p>
    <w:p w14:paraId="7A476CD3">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（5）变电站内金属构件，如吊架、垫片、螺栓、闸片等均做到表面光滑，尽量避免毛刺出现。</w:t>
      </w:r>
    </w:p>
    <w:p w14:paraId="3A1A42AB">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6）对高压一次设备采用均压措施；控制导体和电气设备安全距离，设置防雷接地保护装置等，同时在变电站设备订货时，要求导线、母线、均压环、管母线终端球和其他金具等提高加工工艺，防止尖端放电和起电晕，降低静电感应的影响；控制配电构架高度、对地和相间距离，控制设备间连线离地面的最低高度，确保地面工频电场强度水平符合标准。</w:t>
      </w:r>
    </w:p>
    <w:p w14:paraId="058E137A">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（7）合理设计塔型，选用合适的导线面积、金具附件等降低对周围环境的电磁影响。</w:t>
      </w:r>
    </w:p>
    <w:p w14:paraId="7703B3AE">
      <w:pPr>
        <w:pageBreakBefore w:val="0"/>
        <w:kinsoku/>
        <w:wordWrap/>
        <w:overflowPunct/>
        <w:topLinePunct w:val="0"/>
        <w:autoSpaceDE/>
        <w:autoSpaceDN/>
        <w:bidi w:val="0"/>
        <w:spacing w:line="360" w:lineRule="auto"/>
        <w:ind w:firstLine="480" w:firstLineChars="200"/>
        <w:textAlignment w:val="auto"/>
        <w:rPr>
          <w:rFonts w:hint="eastAsia" w:eastAsia="宋体"/>
          <w:sz w:val="24"/>
          <w:szCs w:val="24"/>
          <w:u w:val="none"/>
          <w:lang w:eastAsia="zh-CN"/>
        </w:rPr>
      </w:pPr>
      <w:r>
        <w:rPr>
          <w:rFonts w:hint="eastAsia"/>
          <w:sz w:val="24"/>
          <w:szCs w:val="24"/>
          <w:u w:val="none"/>
        </w:rPr>
        <w:t>（</w:t>
      </w:r>
      <w:r>
        <w:rPr>
          <w:rFonts w:hint="eastAsia"/>
          <w:sz w:val="24"/>
          <w:szCs w:val="24"/>
          <w:u w:val="none"/>
          <w:lang w:val="en-US" w:eastAsia="zh-CN"/>
        </w:rPr>
        <w:t>8</w:t>
      </w:r>
      <w:r>
        <w:rPr>
          <w:rFonts w:hint="eastAsia"/>
          <w:sz w:val="24"/>
          <w:szCs w:val="24"/>
          <w:u w:val="none"/>
        </w:rPr>
        <w:t>）制定安全操作规程，加强职工安全教育，加强电磁水平监测。</w:t>
      </w:r>
    </w:p>
    <w:p w14:paraId="5E7E159A">
      <w:pPr>
        <w:pageBreakBefore w:val="0"/>
        <w:kinsoku/>
        <w:wordWrap/>
        <w:overflowPunct/>
        <w:topLinePunct w:val="0"/>
        <w:autoSpaceDE/>
        <w:autoSpaceDN/>
        <w:bidi w:val="0"/>
        <w:spacing w:line="360" w:lineRule="auto"/>
        <w:ind w:firstLine="480" w:firstLineChars="200"/>
        <w:textAlignment w:val="auto"/>
        <w:rPr>
          <w:sz w:val="24"/>
          <w:szCs w:val="24"/>
          <w:u w:val="none"/>
        </w:rPr>
      </w:pPr>
      <w:r>
        <w:rPr>
          <w:rFonts w:hint="eastAsia"/>
          <w:sz w:val="24"/>
          <w:szCs w:val="24"/>
          <w:u w:val="none"/>
        </w:rPr>
        <w:t>（</w:t>
      </w:r>
      <w:r>
        <w:rPr>
          <w:rFonts w:hint="eastAsia"/>
          <w:sz w:val="24"/>
          <w:szCs w:val="24"/>
          <w:u w:val="none"/>
          <w:lang w:val="en-US" w:eastAsia="zh-CN"/>
        </w:rPr>
        <w:t>9</w:t>
      </w:r>
      <w:r>
        <w:rPr>
          <w:rFonts w:hint="eastAsia"/>
          <w:sz w:val="24"/>
          <w:szCs w:val="24"/>
          <w:u w:val="none"/>
        </w:rPr>
        <w:t>）对员工进行电磁环境影响基础知识培训，在巡检带电维修过程中，尽可能减少人员曝露在电磁场中的时间。</w:t>
      </w:r>
    </w:p>
    <w:p w14:paraId="452038FD">
      <w:pPr>
        <w:ind w:firstLine="480"/>
        <w:rPr>
          <w:b/>
          <w:bCs/>
          <w:kern w:val="0"/>
          <w:u w:val="none"/>
          <w:lang w:bidi="ar"/>
        </w:rPr>
      </w:pPr>
      <w:r>
        <w:rPr>
          <w:rFonts w:hint="eastAsia"/>
          <w:sz w:val="24"/>
          <w:szCs w:val="24"/>
          <w:u w:val="none"/>
        </w:rPr>
        <w:t>（1</w:t>
      </w:r>
      <w:r>
        <w:rPr>
          <w:rFonts w:hint="eastAsia"/>
          <w:sz w:val="24"/>
          <w:szCs w:val="24"/>
          <w:u w:val="none"/>
          <w:lang w:val="en-US" w:eastAsia="zh-CN"/>
        </w:rPr>
        <w:t>0</w:t>
      </w:r>
      <w:r>
        <w:rPr>
          <w:rFonts w:hint="eastAsia"/>
          <w:sz w:val="24"/>
          <w:szCs w:val="24"/>
          <w:u w:val="none"/>
        </w:rPr>
        <w:t>）设立警示标志，禁止无关人员进入变电站或靠近带电架构。</w:t>
      </w:r>
    </w:p>
    <w:p w14:paraId="39872DC2">
      <w:pPr>
        <w:adjustRightInd w:val="0"/>
        <w:snapToGrid w:val="0"/>
        <w:outlineLvl w:val="0"/>
        <w:rPr>
          <w:b/>
          <w:bCs/>
          <w:kern w:val="0"/>
          <w:u w:val="none"/>
        </w:rPr>
      </w:pPr>
      <w:bookmarkStart w:id="213" w:name="_Toc16380"/>
      <w:bookmarkStart w:id="214" w:name="_Toc17631"/>
      <w:bookmarkStart w:id="215" w:name="_Toc10318"/>
      <w:bookmarkStart w:id="216" w:name="_Toc6632"/>
      <w:bookmarkStart w:id="217" w:name="_Toc6634"/>
      <w:bookmarkStart w:id="218" w:name="_Toc8786"/>
      <w:bookmarkStart w:id="219" w:name="_Toc1312"/>
      <w:bookmarkStart w:id="220" w:name="_Toc7662"/>
      <w:r>
        <w:rPr>
          <w:b/>
          <w:bCs/>
          <w:kern w:val="0"/>
          <w:u w:val="none"/>
          <w:lang w:bidi="ar"/>
        </w:rPr>
        <w:t>4环境监测</w:t>
      </w:r>
      <w:bookmarkEnd w:id="208"/>
      <w:bookmarkEnd w:id="209"/>
      <w:bookmarkEnd w:id="210"/>
      <w:bookmarkEnd w:id="211"/>
      <w:bookmarkEnd w:id="213"/>
      <w:bookmarkEnd w:id="214"/>
      <w:bookmarkEnd w:id="215"/>
      <w:bookmarkEnd w:id="216"/>
      <w:bookmarkEnd w:id="217"/>
      <w:bookmarkEnd w:id="218"/>
      <w:bookmarkEnd w:id="219"/>
      <w:bookmarkEnd w:id="220"/>
    </w:p>
    <w:p w14:paraId="5A6A5AC1">
      <w:pPr>
        <w:ind w:firstLine="480" w:firstLineChars="200"/>
        <w:rPr>
          <w:u w:val="none"/>
        </w:rPr>
      </w:pPr>
      <w:r>
        <w:rPr>
          <w:u w:val="none"/>
        </w:rPr>
        <w:t>本项目正式投运后，竣工环保验收期间对变电站</w:t>
      </w:r>
      <w:r>
        <w:rPr>
          <w:rFonts w:hint="eastAsia"/>
          <w:u w:val="none"/>
        </w:rPr>
        <w:t>厂界</w:t>
      </w:r>
      <w:r>
        <w:rPr>
          <w:u w:val="none"/>
        </w:rPr>
        <w:t>四周</w:t>
      </w:r>
      <w:r>
        <w:rPr>
          <w:rFonts w:hint="eastAsia"/>
          <w:u w:val="none"/>
        </w:rPr>
        <w:t>及电磁环境敏感目标</w:t>
      </w:r>
      <w:r>
        <w:rPr>
          <w:u w:val="none"/>
        </w:rPr>
        <w:t>产生的工频电场、工频磁场进行1次监测，验证工程项目是否满足相应的评价标准，并提出改进措施。</w:t>
      </w:r>
    </w:p>
    <w:p w14:paraId="30B3B604">
      <w:pPr>
        <w:ind w:firstLine="480" w:firstLineChars="200"/>
        <w:rPr>
          <w:b/>
          <w:bCs/>
          <w:u w:val="none"/>
        </w:rPr>
      </w:pPr>
      <w:r>
        <w:rPr>
          <w:u w:val="none"/>
        </w:rPr>
        <w:t>本项目运行期环境监测计划见表</w:t>
      </w:r>
      <w:r>
        <w:rPr>
          <w:rFonts w:hint="eastAsia"/>
          <w:u w:val="none"/>
        </w:rPr>
        <w:t>4.1-1</w:t>
      </w:r>
      <w:r>
        <w:rPr>
          <w:u w:val="none"/>
        </w:rPr>
        <w:t>。</w:t>
      </w:r>
    </w:p>
    <w:p w14:paraId="76B379A9">
      <w:pPr>
        <w:pStyle w:val="29"/>
        <w:widowControl/>
        <w:spacing w:line="240" w:lineRule="auto"/>
        <w:ind w:firstLine="0"/>
        <w:jc w:val="center"/>
        <w:rPr>
          <w:rFonts w:ascii="Times New Roman"/>
          <w:b/>
          <w:bCs/>
          <w:szCs w:val="24"/>
          <w:u w:val="none"/>
        </w:rPr>
      </w:pPr>
      <w:r>
        <w:rPr>
          <w:rFonts w:ascii="Times New Roman"/>
          <w:b/>
          <w:bCs/>
          <w:szCs w:val="24"/>
          <w:u w:val="none"/>
        </w:rPr>
        <w:t>表</w:t>
      </w:r>
      <w:r>
        <w:rPr>
          <w:rFonts w:hint="eastAsia" w:ascii="Times New Roman"/>
          <w:b/>
          <w:bCs/>
          <w:szCs w:val="24"/>
          <w:u w:val="none"/>
        </w:rPr>
        <w:t>4.1-1</w:t>
      </w:r>
      <w:r>
        <w:rPr>
          <w:rFonts w:ascii="Times New Roman"/>
          <w:b/>
          <w:bCs/>
          <w:szCs w:val="24"/>
          <w:u w:val="none"/>
        </w:rPr>
        <w:t>运行期环境监测计划</w:t>
      </w:r>
    </w:p>
    <w:p w14:paraId="6CE901A9">
      <w:pPr>
        <w:pStyle w:val="29"/>
        <w:widowControl/>
        <w:spacing w:line="240" w:lineRule="auto"/>
        <w:ind w:firstLine="0"/>
        <w:jc w:val="center"/>
        <w:rPr>
          <w:rFonts w:ascii="Times New Roman"/>
          <w:b/>
          <w:bCs/>
          <w:szCs w:val="24"/>
          <w:u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080"/>
        <w:gridCol w:w="1669"/>
        <w:gridCol w:w="2259"/>
        <w:gridCol w:w="3811"/>
      </w:tblGrid>
      <w:tr w14:paraId="670E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88EB71">
            <w:pPr>
              <w:pStyle w:val="30"/>
              <w:spacing w:before="97" w:after="163"/>
              <w:rPr>
                <w:u w:val="none"/>
              </w:rPr>
            </w:pPr>
            <w:r>
              <w:rPr>
                <w:u w:val="none"/>
              </w:rPr>
              <w:t>序号</w:t>
            </w:r>
          </w:p>
        </w:tc>
        <w:tc>
          <w:tcPr>
            <w:tcW w:w="0" w:type="auto"/>
            <w:vAlign w:val="center"/>
          </w:tcPr>
          <w:p w14:paraId="04CBEF58">
            <w:pPr>
              <w:pStyle w:val="30"/>
              <w:spacing w:before="97" w:after="163"/>
              <w:rPr>
                <w:u w:val="none"/>
              </w:rPr>
            </w:pPr>
            <w:r>
              <w:rPr>
                <w:u w:val="none"/>
              </w:rPr>
              <w:t>监测项目</w:t>
            </w:r>
          </w:p>
        </w:tc>
        <w:tc>
          <w:tcPr>
            <w:tcW w:w="0" w:type="auto"/>
            <w:vAlign w:val="center"/>
          </w:tcPr>
          <w:p w14:paraId="19DD267F">
            <w:pPr>
              <w:pStyle w:val="30"/>
              <w:spacing w:before="97" w:after="163"/>
              <w:rPr>
                <w:u w:val="none"/>
              </w:rPr>
            </w:pPr>
            <w:r>
              <w:rPr>
                <w:u w:val="none"/>
              </w:rPr>
              <w:t>监测位置设置</w:t>
            </w:r>
          </w:p>
        </w:tc>
        <w:tc>
          <w:tcPr>
            <w:tcW w:w="0" w:type="auto"/>
            <w:vAlign w:val="center"/>
          </w:tcPr>
          <w:p w14:paraId="74E1C7CA">
            <w:pPr>
              <w:pStyle w:val="30"/>
              <w:spacing w:before="97" w:after="163"/>
              <w:rPr>
                <w:u w:val="none"/>
              </w:rPr>
            </w:pPr>
            <w:r>
              <w:rPr>
                <w:u w:val="none"/>
              </w:rPr>
              <w:t>监测时段</w:t>
            </w:r>
          </w:p>
        </w:tc>
        <w:tc>
          <w:tcPr>
            <w:tcW w:w="0" w:type="auto"/>
            <w:vAlign w:val="center"/>
          </w:tcPr>
          <w:p w14:paraId="09ED695A">
            <w:pPr>
              <w:pStyle w:val="30"/>
              <w:spacing w:before="97" w:after="163"/>
              <w:rPr>
                <w:u w:val="none"/>
              </w:rPr>
            </w:pPr>
            <w:r>
              <w:rPr>
                <w:u w:val="none"/>
              </w:rPr>
              <w:t>执行标准</w:t>
            </w:r>
          </w:p>
        </w:tc>
      </w:tr>
      <w:tr w14:paraId="5937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DE3CBC">
            <w:pPr>
              <w:pStyle w:val="29"/>
              <w:widowControl/>
              <w:spacing w:line="240" w:lineRule="auto"/>
              <w:ind w:firstLine="0"/>
              <w:jc w:val="center"/>
              <w:rPr>
                <w:rFonts w:ascii="Times New Roman"/>
                <w:szCs w:val="24"/>
                <w:u w:val="none"/>
              </w:rPr>
            </w:pPr>
            <w:r>
              <w:rPr>
                <w:rFonts w:ascii="Times New Roman"/>
                <w:szCs w:val="24"/>
                <w:u w:val="none"/>
              </w:rPr>
              <w:t>1</w:t>
            </w:r>
          </w:p>
        </w:tc>
        <w:tc>
          <w:tcPr>
            <w:tcW w:w="0" w:type="auto"/>
            <w:vAlign w:val="center"/>
          </w:tcPr>
          <w:p w14:paraId="00865D1A">
            <w:pPr>
              <w:pStyle w:val="29"/>
              <w:widowControl/>
              <w:spacing w:line="240" w:lineRule="auto"/>
              <w:ind w:firstLine="0"/>
              <w:jc w:val="center"/>
              <w:rPr>
                <w:rFonts w:ascii="Times New Roman"/>
                <w:szCs w:val="24"/>
                <w:u w:val="none"/>
              </w:rPr>
            </w:pPr>
            <w:r>
              <w:rPr>
                <w:rFonts w:ascii="Times New Roman"/>
                <w:szCs w:val="24"/>
                <w:u w:val="none"/>
              </w:rPr>
              <w:t>工频电场、工频磁场</w:t>
            </w:r>
          </w:p>
        </w:tc>
        <w:tc>
          <w:tcPr>
            <w:tcW w:w="0" w:type="auto"/>
            <w:vAlign w:val="center"/>
          </w:tcPr>
          <w:p w14:paraId="2CBC4806">
            <w:pPr>
              <w:pStyle w:val="29"/>
              <w:widowControl/>
              <w:spacing w:line="240" w:lineRule="auto"/>
              <w:ind w:firstLine="0"/>
              <w:jc w:val="center"/>
              <w:rPr>
                <w:rFonts w:ascii="Times New Roman"/>
                <w:szCs w:val="24"/>
                <w:u w:val="none"/>
              </w:rPr>
            </w:pPr>
            <w:r>
              <w:rPr>
                <w:rFonts w:ascii="Times New Roman"/>
                <w:szCs w:val="24"/>
                <w:u w:val="none"/>
              </w:rPr>
              <w:t>变电站</w:t>
            </w:r>
            <w:r>
              <w:rPr>
                <w:rFonts w:hint="eastAsia" w:ascii="Times New Roman"/>
                <w:szCs w:val="24"/>
                <w:u w:val="none"/>
              </w:rPr>
              <w:t>厂界</w:t>
            </w:r>
            <w:r>
              <w:rPr>
                <w:rFonts w:ascii="Times New Roman"/>
                <w:szCs w:val="24"/>
                <w:u w:val="none"/>
              </w:rPr>
              <w:t>四周；电磁环境敏感目标；断面监测</w:t>
            </w:r>
          </w:p>
        </w:tc>
        <w:tc>
          <w:tcPr>
            <w:tcW w:w="0" w:type="auto"/>
            <w:vAlign w:val="center"/>
          </w:tcPr>
          <w:p w14:paraId="7A572CAB">
            <w:pPr>
              <w:pStyle w:val="29"/>
              <w:widowControl/>
              <w:spacing w:line="240" w:lineRule="auto"/>
              <w:ind w:firstLine="0"/>
              <w:jc w:val="center"/>
              <w:rPr>
                <w:rFonts w:ascii="Times New Roman"/>
                <w:szCs w:val="24"/>
                <w:u w:val="none"/>
              </w:rPr>
            </w:pPr>
            <w:r>
              <w:rPr>
                <w:rFonts w:ascii="Times New Roman"/>
                <w:szCs w:val="24"/>
                <w:u w:val="none"/>
              </w:rPr>
              <w:t>投运后结合竣工环保验收监测1次，其后按投运维单位监测计划定期监测。</w:t>
            </w:r>
          </w:p>
        </w:tc>
        <w:tc>
          <w:tcPr>
            <w:tcW w:w="0" w:type="auto"/>
            <w:vAlign w:val="center"/>
          </w:tcPr>
          <w:p w14:paraId="0EF6F7BA">
            <w:pPr>
              <w:pStyle w:val="29"/>
              <w:widowControl/>
              <w:spacing w:line="240" w:lineRule="auto"/>
              <w:ind w:firstLine="0"/>
              <w:jc w:val="center"/>
              <w:rPr>
                <w:rFonts w:ascii="Times New Roman"/>
                <w:szCs w:val="24"/>
                <w:u w:val="none"/>
              </w:rPr>
            </w:pPr>
            <w:r>
              <w:rPr>
                <w:rFonts w:ascii="Times New Roman"/>
                <w:szCs w:val="24"/>
                <w:u w:val="none"/>
              </w:rPr>
              <w:t>《电磁环境控制限值限值》（GB8702-2014）规定的4000V/m及100μT的公众曝露控制限值</w:t>
            </w:r>
          </w:p>
        </w:tc>
      </w:tr>
    </w:tbl>
    <w:p w14:paraId="4EC63340">
      <w:pPr>
        <w:pStyle w:val="29"/>
        <w:widowControl/>
        <w:spacing w:line="240" w:lineRule="auto"/>
        <w:ind w:firstLine="0"/>
        <w:jc w:val="center"/>
        <w:rPr>
          <w:rFonts w:ascii="Times New Roman"/>
          <w:b/>
          <w:bCs/>
          <w:szCs w:val="24"/>
          <w:u w:val="none"/>
        </w:rPr>
      </w:pPr>
    </w:p>
    <w:p w14:paraId="1301F274">
      <w:pPr>
        <w:outlineLvl w:val="0"/>
        <w:rPr>
          <w:b/>
          <w:kern w:val="0"/>
          <w:u w:val="none"/>
        </w:rPr>
      </w:pPr>
      <w:bookmarkStart w:id="221" w:name="_Toc26842"/>
      <w:bookmarkStart w:id="222" w:name="_Toc660"/>
      <w:bookmarkStart w:id="223" w:name="_Toc12650"/>
      <w:bookmarkStart w:id="224" w:name="_Toc16915"/>
      <w:bookmarkStart w:id="225" w:name="_Toc17486"/>
      <w:bookmarkStart w:id="226" w:name="_Toc32157"/>
      <w:bookmarkStart w:id="227" w:name="_Toc22595"/>
      <w:bookmarkStart w:id="228" w:name="_Toc12672"/>
      <w:bookmarkStart w:id="229" w:name="_Toc31869"/>
      <w:bookmarkStart w:id="230" w:name="_Toc23062"/>
      <w:bookmarkStart w:id="231" w:name="_Toc21971"/>
      <w:r>
        <w:rPr>
          <w:rFonts w:hint="eastAsia"/>
          <w:b/>
          <w:kern w:val="0"/>
          <w:u w:val="none"/>
        </w:rPr>
        <w:t>5</w:t>
      </w:r>
      <w:r>
        <w:rPr>
          <w:b/>
          <w:kern w:val="0"/>
          <w:u w:val="none"/>
        </w:rPr>
        <w:t>评价结论</w:t>
      </w:r>
      <w:bookmarkEnd w:id="190"/>
      <w:bookmarkEnd w:id="191"/>
      <w:bookmarkEnd w:id="192"/>
      <w:bookmarkEnd w:id="212"/>
      <w:bookmarkEnd w:id="221"/>
      <w:bookmarkEnd w:id="222"/>
      <w:bookmarkEnd w:id="223"/>
      <w:bookmarkEnd w:id="224"/>
      <w:bookmarkEnd w:id="225"/>
      <w:bookmarkEnd w:id="226"/>
      <w:bookmarkEnd w:id="227"/>
      <w:bookmarkEnd w:id="228"/>
      <w:bookmarkEnd w:id="229"/>
      <w:bookmarkEnd w:id="230"/>
      <w:bookmarkEnd w:id="231"/>
    </w:p>
    <w:p w14:paraId="32D49F15">
      <w:pPr>
        <w:outlineLvl w:val="1"/>
        <w:rPr>
          <w:b/>
          <w:kern w:val="0"/>
          <w:u w:val="none"/>
        </w:rPr>
      </w:pPr>
      <w:bookmarkStart w:id="232" w:name="_Toc19079"/>
      <w:bookmarkStart w:id="233" w:name="_Toc4242"/>
      <w:bookmarkStart w:id="234" w:name="_Toc15381"/>
      <w:bookmarkStart w:id="235" w:name="_Toc26570"/>
      <w:bookmarkStart w:id="236" w:name="_Toc18813"/>
      <w:bookmarkStart w:id="237" w:name="_Toc21633"/>
      <w:bookmarkStart w:id="238" w:name="_Toc30847"/>
      <w:bookmarkStart w:id="239" w:name="_Toc32584"/>
      <w:bookmarkStart w:id="240" w:name="_Toc14911"/>
      <w:r>
        <w:rPr>
          <w:rFonts w:hint="eastAsia"/>
          <w:b/>
          <w:kern w:val="0"/>
          <w:u w:val="none"/>
        </w:rPr>
        <w:t>5</w:t>
      </w:r>
      <w:r>
        <w:rPr>
          <w:b/>
          <w:kern w:val="0"/>
          <w:u w:val="none"/>
        </w:rPr>
        <w:t>.1电磁环境影响评价结论</w:t>
      </w:r>
      <w:bookmarkEnd w:id="232"/>
      <w:bookmarkEnd w:id="233"/>
      <w:bookmarkEnd w:id="234"/>
      <w:bookmarkEnd w:id="235"/>
      <w:bookmarkEnd w:id="236"/>
      <w:bookmarkEnd w:id="237"/>
      <w:bookmarkEnd w:id="238"/>
      <w:bookmarkEnd w:id="239"/>
      <w:bookmarkEnd w:id="240"/>
    </w:p>
    <w:p w14:paraId="7F1D2FDE">
      <w:pPr>
        <w:outlineLvl w:val="2"/>
        <w:rPr>
          <w:bCs/>
          <w:kern w:val="0"/>
          <w:u w:val="none"/>
        </w:rPr>
      </w:pPr>
      <w:r>
        <w:rPr>
          <w:rFonts w:hint="eastAsia"/>
          <w:bCs/>
          <w:kern w:val="0"/>
          <w:u w:val="none"/>
        </w:rPr>
        <w:t>5</w:t>
      </w:r>
      <w:r>
        <w:rPr>
          <w:bCs/>
          <w:kern w:val="0"/>
          <w:u w:val="none"/>
        </w:rPr>
        <w:t>.1.1电磁环境现状评价结论</w:t>
      </w:r>
    </w:p>
    <w:p w14:paraId="6B4B3A05">
      <w:pPr>
        <w:pStyle w:val="10"/>
        <w:ind w:firstLine="480" w:firstLineChars="200"/>
        <w:rPr>
          <w:u w:val="none"/>
        </w:rPr>
      </w:pPr>
      <w:r>
        <w:rPr>
          <w:rFonts w:ascii="Times New Roman" w:hAnsi="Times New Roman"/>
          <w:sz w:val="24"/>
          <w:szCs w:val="24"/>
          <w:u w:val="none"/>
        </w:rPr>
        <w:t>电磁环境质量现状监测结果表明，</w:t>
      </w:r>
      <w:r>
        <w:rPr>
          <w:rFonts w:hint="eastAsia" w:ascii="Times New Roman" w:hAnsi="Times New Roman"/>
          <w:bCs/>
          <w:sz w:val="24"/>
          <w:szCs w:val="24"/>
          <w:u w:val="none"/>
        </w:rPr>
        <w:t>220kV</w:t>
      </w:r>
      <w:r>
        <w:rPr>
          <w:rFonts w:hint="eastAsia" w:ascii="Times New Roman" w:hAnsi="Times New Roman"/>
          <w:bCs/>
          <w:sz w:val="24"/>
          <w:szCs w:val="24"/>
          <w:u w:val="none"/>
          <w:lang w:val="en-US" w:eastAsia="zh-CN"/>
        </w:rPr>
        <w:t>果山</w:t>
      </w:r>
      <w:r>
        <w:rPr>
          <w:rFonts w:ascii="Times New Roman" w:hAnsi="Times New Roman"/>
          <w:bCs/>
          <w:sz w:val="24"/>
          <w:szCs w:val="24"/>
          <w:u w:val="none"/>
        </w:rPr>
        <w:t>变电站</w:t>
      </w:r>
      <w:r>
        <w:rPr>
          <w:rFonts w:hint="eastAsia" w:ascii="Times New Roman" w:hAnsi="Times New Roman"/>
          <w:bCs/>
          <w:sz w:val="24"/>
          <w:szCs w:val="24"/>
          <w:u w:val="none"/>
        </w:rPr>
        <w:t>厂界</w:t>
      </w:r>
      <w:r>
        <w:rPr>
          <w:rFonts w:ascii="Times New Roman" w:hAnsi="Times New Roman"/>
          <w:bCs/>
          <w:sz w:val="24"/>
          <w:szCs w:val="24"/>
          <w:u w:val="none"/>
        </w:rPr>
        <w:t>工频电场强度为</w:t>
      </w:r>
      <w:r>
        <w:rPr>
          <w:rFonts w:hint="eastAsia" w:ascii="Times New Roman" w:hAnsi="Times New Roman"/>
          <w:bCs/>
          <w:sz w:val="24"/>
          <w:szCs w:val="24"/>
          <w:u w:val="none"/>
          <w:lang w:val="en-US" w:eastAsia="zh-CN"/>
        </w:rPr>
        <w:t>1.3</w:t>
      </w:r>
      <w:r>
        <w:rPr>
          <w:rFonts w:ascii="Times New Roman" w:hAnsi="Times New Roman"/>
          <w:bCs/>
          <w:sz w:val="24"/>
          <w:szCs w:val="24"/>
          <w:u w:val="none"/>
        </w:rPr>
        <w:t>～</w:t>
      </w:r>
      <w:r>
        <w:rPr>
          <w:rFonts w:hint="eastAsia" w:ascii="Times New Roman" w:hAnsi="Times New Roman"/>
          <w:bCs/>
          <w:sz w:val="24"/>
          <w:szCs w:val="24"/>
          <w:u w:val="none"/>
          <w:lang w:val="en-US" w:eastAsia="zh-CN"/>
        </w:rPr>
        <w:t>129.5</w:t>
      </w:r>
      <w:r>
        <w:rPr>
          <w:rFonts w:ascii="Times New Roman" w:hAnsi="Times New Roman"/>
          <w:bCs/>
          <w:sz w:val="24"/>
          <w:szCs w:val="24"/>
          <w:u w:val="none"/>
        </w:rPr>
        <w:t>V/m，</w:t>
      </w:r>
      <w:r>
        <w:rPr>
          <w:rFonts w:hint="eastAsia" w:ascii="Times New Roman" w:hAnsi="Times New Roman"/>
          <w:bCs/>
          <w:sz w:val="24"/>
          <w:szCs w:val="24"/>
          <w:u w:val="none"/>
        </w:rPr>
        <w:t>工频</w:t>
      </w:r>
      <w:r>
        <w:rPr>
          <w:rFonts w:ascii="Times New Roman" w:hAnsi="Times New Roman"/>
          <w:bCs/>
          <w:sz w:val="24"/>
          <w:szCs w:val="24"/>
          <w:u w:val="none"/>
        </w:rPr>
        <w:t>磁感应强度为</w:t>
      </w:r>
      <w:r>
        <w:rPr>
          <w:rFonts w:hint="eastAsia" w:ascii="Times New Roman" w:hAnsi="Times New Roman"/>
          <w:bCs/>
          <w:sz w:val="24"/>
          <w:szCs w:val="24"/>
          <w:u w:val="none"/>
          <w:lang w:val="en-US" w:eastAsia="zh-CN"/>
        </w:rPr>
        <w:t>0.09</w:t>
      </w:r>
      <w:r>
        <w:rPr>
          <w:rFonts w:ascii="Times New Roman" w:hAnsi="Times New Roman"/>
          <w:bCs/>
          <w:sz w:val="24"/>
          <w:szCs w:val="24"/>
          <w:u w:val="none"/>
        </w:rPr>
        <w:t>～</w:t>
      </w:r>
      <w:r>
        <w:rPr>
          <w:rFonts w:hint="eastAsia" w:ascii="Times New Roman" w:hAnsi="Times New Roman"/>
          <w:bCs/>
          <w:sz w:val="24"/>
          <w:szCs w:val="24"/>
          <w:u w:val="none"/>
          <w:lang w:val="en-US" w:eastAsia="zh-CN"/>
        </w:rPr>
        <w:t>0.35</w:t>
      </w:r>
      <w:r>
        <w:rPr>
          <w:rFonts w:ascii="Times New Roman" w:hAnsi="Times New Roman"/>
          <w:bCs/>
          <w:sz w:val="24"/>
          <w:szCs w:val="24"/>
          <w:u w:val="none"/>
        </w:rPr>
        <w:t>μT。</w:t>
      </w:r>
      <w:r>
        <w:rPr>
          <w:rFonts w:ascii="Times New Roman" w:hAnsi="Times New Roman"/>
          <w:sz w:val="24"/>
          <w:szCs w:val="24"/>
          <w:u w:val="none"/>
        </w:rPr>
        <w:t>环境敏感目标</w:t>
      </w:r>
      <w:r>
        <w:rPr>
          <w:rFonts w:ascii="Times New Roman" w:hAnsi="Times New Roman"/>
          <w:bCs/>
          <w:sz w:val="24"/>
          <w:szCs w:val="24"/>
          <w:u w:val="none"/>
        </w:rPr>
        <w:t>工频电场强度为</w:t>
      </w:r>
      <w:r>
        <w:rPr>
          <w:rFonts w:hint="eastAsia" w:ascii="Times New Roman" w:hAnsi="Times New Roman"/>
          <w:bCs/>
          <w:sz w:val="24"/>
          <w:szCs w:val="24"/>
          <w:u w:val="none"/>
          <w:lang w:val="en-US" w:eastAsia="zh-CN"/>
        </w:rPr>
        <w:t>1.8</w:t>
      </w:r>
      <w:r>
        <w:rPr>
          <w:rFonts w:ascii="Times New Roman" w:hAnsi="Times New Roman"/>
          <w:bCs/>
          <w:sz w:val="24"/>
          <w:szCs w:val="24"/>
          <w:u w:val="none"/>
        </w:rPr>
        <w:t>V/m，工频磁感应强度为0.</w:t>
      </w:r>
      <w:r>
        <w:rPr>
          <w:rFonts w:hint="eastAsia" w:ascii="Times New Roman" w:hAnsi="Times New Roman"/>
          <w:bCs/>
          <w:sz w:val="24"/>
          <w:szCs w:val="24"/>
          <w:u w:val="none"/>
          <w:lang w:val="en-US" w:eastAsia="zh-CN"/>
        </w:rPr>
        <w:t>09</w:t>
      </w:r>
      <w:r>
        <w:rPr>
          <w:rFonts w:ascii="Times New Roman" w:hAnsi="Times New Roman"/>
          <w:bCs/>
          <w:sz w:val="24"/>
          <w:szCs w:val="24"/>
          <w:u w:val="none"/>
        </w:rPr>
        <w:t>μT。满足《电磁环境控制限值》（GB8702-2014）要求。</w:t>
      </w:r>
    </w:p>
    <w:p w14:paraId="5D81904D">
      <w:pPr>
        <w:outlineLvl w:val="2"/>
        <w:rPr>
          <w:kern w:val="0"/>
          <w:u w:val="none"/>
        </w:rPr>
      </w:pPr>
      <w:r>
        <w:rPr>
          <w:rFonts w:hint="eastAsia"/>
          <w:kern w:val="0"/>
          <w:u w:val="none"/>
        </w:rPr>
        <w:t>5</w:t>
      </w:r>
      <w:r>
        <w:rPr>
          <w:kern w:val="0"/>
          <w:u w:val="none"/>
        </w:rPr>
        <w:t>.1.2电磁环境影响评价结论</w:t>
      </w:r>
    </w:p>
    <w:p w14:paraId="6EE5A360">
      <w:pPr>
        <w:ind w:firstLine="480"/>
        <w:rPr>
          <w:kern w:val="0"/>
          <w:u w:val="none"/>
        </w:rPr>
      </w:pPr>
      <w:r>
        <w:rPr>
          <w:rFonts w:hint="eastAsia"/>
          <w:kern w:val="0"/>
          <w:u w:val="none"/>
        </w:rPr>
        <w:t>根据220kV里明变电站的类比监测结果，可以预测</w:t>
      </w:r>
      <w:r>
        <w:rPr>
          <w:rFonts w:hint="eastAsia"/>
          <w:kern w:val="0"/>
          <w:u w:val="none"/>
          <w:lang w:val="en-US" w:eastAsia="zh-CN"/>
        </w:rPr>
        <w:t>果山</w:t>
      </w:r>
      <w:r>
        <w:rPr>
          <w:rFonts w:hint="eastAsia"/>
          <w:kern w:val="0"/>
          <w:u w:val="none"/>
        </w:rPr>
        <w:t>站扩建工程投运后，变电站四周的工频电场强度和工频磁感应强度也将满足《电磁环境控制限值》（GB8702-2014）中工频电场强度4000V/m及工频磁感应强度100μT的公众曝露控制限值要求。</w:t>
      </w:r>
    </w:p>
    <w:p w14:paraId="0FE7E493">
      <w:pPr>
        <w:outlineLvl w:val="1"/>
        <w:rPr>
          <w:b/>
          <w:kern w:val="0"/>
          <w:u w:val="none"/>
        </w:rPr>
      </w:pPr>
      <w:bookmarkStart w:id="241" w:name="_Toc9206"/>
      <w:bookmarkStart w:id="242" w:name="_Toc32411"/>
      <w:bookmarkStart w:id="243" w:name="_Toc28547"/>
      <w:bookmarkStart w:id="244" w:name="_Toc23292"/>
      <w:r>
        <w:rPr>
          <w:rFonts w:hint="eastAsia"/>
          <w:b/>
          <w:kern w:val="0"/>
          <w:u w:val="none"/>
        </w:rPr>
        <w:t>5</w:t>
      </w:r>
      <w:r>
        <w:rPr>
          <w:b/>
          <w:kern w:val="0"/>
          <w:u w:val="none"/>
        </w:rPr>
        <w:t>.</w:t>
      </w:r>
      <w:r>
        <w:rPr>
          <w:rFonts w:hint="eastAsia"/>
          <w:b/>
          <w:kern w:val="0"/>
          <w:u w:val="none"/>
        </w:rPr>
        <w:t>2电磁环境保护措施</w:t>
      </w:r>
      <w:bookmarkEnd w:id="241"/>
      <w:bookmarkEnd w:id="242"/>
      <w:bookmarkEnd w:id="243"/>
      <w:bookmarkEnd w:id="244"/>
    </w:p>
    <w:p w14:paraId="1AA3181A">
      <w:pPr>
        <w:ind w:firstLine="480" w:firstLineChars="200"/>
        <w:rPr>
          <w:u w:val="none"/>
        </w:rPr>
      </w:pPr>
      <w:r>
        <w:rPr>
          <w:u w:val="none"/>
        </w:rPr>
        <w:t>合理设计并保证设备及配件加工精良，控制绝缘子表面放电，减少因接触不良而产生的火花放电。</w:t>
      </w:r>
    </w:p>
    <w:p w14:paraId="7DBB68BB">
      <w:pPr>
        <w:outlineLvl w:val="1"/>
        <w:rPr>
          <w:b/>
          <w:kern w:val="0"/>
          <w:u w:val="none"/>
        </w:rPr>
      </w:pPr>
      <w:bookmarkStart w:id="245" w:name="_Toc22867"/>
      <w:bookmarkStart w:id="246" w:name="_Toc26807"/>
      <w:bookmarkStart w:id="247" w:name="_Toc24608"/>
      <w:bookmarkStart w:id="248" w:name="_Toc3913"/>
      <w:bookmarkStart w:id="249" w:name="_Toc2317"/>
      <w:bookmarkStart w:id="250" w:name="_Toc23989"/>
      <w:bookmarkStart w:id="251" w:name="_Toc29088"/>
      <w:bookmarkStart w:id="252" w:name="_Toc25693"/>
      <w:bookmarkStart w:id="253" w:name="_Toc4438"/>
      <w:r>
        <w:rPr>
          <w:rFonts w:hint="eastAsia"/>
          <w:b/>
          <w:kern w:val="0"/>
          <w:u w:val="none"/>
        </w:rPr>
        <w:t>5</w:t>
      </w:r>
      <w:r>
        <w:rPr>
          <w:b/>
          <w:kern w:val="0"/>
          <w:u w:val="none"/>
        </w:rPr>
        <w:t>.</w:t>
      </w:r>
      <w:r>
        <w:rPr>
          <w:rFonts w:hint="eastAsia"/>
          <w:b/>
          <w:kern w:val="0"/>
          <w:u w:val="none"/>
        </w:rPr>
        <w:t>3</w:t>
      </w:r>
      <w:r>
        <w:rPr>
          <w:b/>
          <w:kern w:val="0"/>
          <w:u w:val="none"/>
        </w:rPr>
        <w:t>建议</w:t>
      </w:r>
      <w:bookmarkEnd w:id="245"/>
      <w:bookmarkEnd w:id="246"/>
      <w:bookmarkEnd w:id="247"/>
      <w:bookmarkEnd w:id="248"/>
      <w:bookmarkEnd w:id="249"/>
      <w:bookmarkEnd w:id="250"/>
      <w:bookmarkEnd w:id="251"/>
      <w:bookmarkEnd w:id="252"/>
      <w:bookmarkEnd w:id="253"/>
    </w:p>
    <w:p w14:paraId="081C60D1">
      <w:pPr>
        <w:ind w:firstLine="480"/>
        <w:rPr>
          <w:kern w:val="0"/>
          <w:u w:val="none"/>
        </w:rPr>
      </w:pPr>
      <w:r>
        <w:rPr>
          <w:kern w:val="0"/>
          <w:u w:val="none"/>
        </w:rPr>
        <w:t>运行期应加强环境管理和环境监测工作。</w:t>
      </w:r>
    </w:p>
    <w:p w14:paraId="5E4D61D2">
      <w:pPr>
        <w:ind w:firstLine="480"/>
        <w:rPr>
          <w:u w:val="none"/>
        </w:rPr>
      </w:pPr>
    </w:p>
    <w:p w14:paraId="41CB5413">
      <w:pPr>
        <w:pStyle w:val="34"/>
        <w:rPr>
          <w:rFonts w:ascii="Times New Roman" w:hAnsi="Times New Roman"/>
          <w:snapToGrid w:val="0"/>
          <w:sz w:val="24"/>
          <w:szCs w:val="24"/>
          <w:u w:val="none"/>
        </w:rPr>
      </w:pPr>
    </w:p>
    <w:p w14:paraId="506699E4">
      <w:pPr>
        <w:pStyle w:val="32"/>
        <w:rPr>
          <w:snapToGrid w:val="0"/>
          <w:sz w:val="24"/>
          <w:szCs w:val="24"/>
          <w:u w:val="none"/>
          <w:lang w:eastAsia="zh-CN"/>
        </w:rPr>
        <w:sectPr>
          <w:footerReference r:id="rId8" w:type="default"/>
          <w:pgSz w:w="11906" w:h="16838"/>
          <w:pgMar w:top="1418" w:right="1418" w:bottom="1418" w:left="1418" w:header="851" w:footer="992" w:gutter="0"/>
          <w:cols w:space="720" w:num="1"/>
          <w:docGrid w:type="lines" w:linePitch="326" w:charSpace="0"/>
        </w:sectPr>
      </w:pPr>
    </w:p>
    <w:p w14:paraId="69645CAF">
      <w:pPr>
        <w:keepNext/>
        <w:keepLines/>
        <w:pageBreakBefore/>
        <w:widowControl/>
        <w:adjustRightInd w:val="0"/>
        <w:snapToGrid w:val="0"/>
        <w:jc w:val="left"/>
        <w:textAlignment w:val="baseline"/>
        <w:outlineLvl w:val="0"/>
        <w:rPr>
          <w:b/>
          <w:bCs/>
          <w:kern w:val="0"/>
          <w:szCs w:val="21"/>
          <w:u w:val="none"/>
        </w:rPr>
      </w:pPr>
      <w:bookmarkStart w:id="254" w:name="_Toc32649"/>
      <w:bookmarkStart w:id="255" w:name="_Toc15510"/>
      <w:bookmarkStart w:id="256" w:name="_Toc17715"/>
      <w:bookmarkStart w:id="257" w:name="_Toc16231"/>
      <w:bookmarkStart w:id="258" w:name="_Toc27794"/>
      <w:bookmarkStart w:id="259" w:name="_Toc6878"/>
      <w:bookmarkStart w:id="260" w:name="_Toc27772"/>
      <w:bookmarkStart w:id="261" w:name="_Toc19497"/>
      <w:bookmarkStart w:id="262" w:name="_Toc71"/>
      <w:bookmarkStart w:id="263" w:name="_Toc21817"/>
      <w:bookmarkStart w:id="264" w:name="_Toc8069"/>
      <w:r>
        <w:rPr>
          <w:rFonts w:hint="eastAsia"/>
          <w:b/>
          <w:bCs/>
          <w:kern w:val="0"/>
          <w:szCs w:val="21"/>
          <w:u w:val="none"/>
        </w:rPr>
        <w:t>附件1中标通知书</w:t>
      </w:r>
      <w:bookmarkEnd w:id="254"/>
      <w:bookmarkEnd w:id="255"/>
      <w:bookmarkEnd w:id="256"/>
      <w:bookmarkEnd w:id="257"/>
      <w:bookmarkEnd w:id="258"/>
    </w:p>
    <w:bookmarkEnd w:id="259"/>
    <w:bookmarkEnd w:id="260"/>
    <w:bookmarkEnd w:id="261"/>
    <w:bookmarkEnd w:id="262"/>
    <w:bookmarkEnd w:id="263"/>
    <w:bookmarkEnd w:id="264"/>
    <w:p w14:paraId="53F04D4D">
      <w:pPr>
        <w:jc w:val="center"/>
        <w:rPr>
          <w:u w:val="none"/>
        </w:rPr>
      </w:pPr>
    </w:p>
    <w:p w14:paraId="4A9F2896">
      <w:pPr>
        <w:rPr>
          <w:u w:val="none"/>
        </w:rPr>
      </w:pPr>
      <w:r>
        <w:rPr>
          <w:u w:val="none"/>
        </w:rPr>
        <w:br w:type="page"/>
      </w:r>
    </w:p>
    <w:p w14:paraId="2CB1AD4B">
      <w:pPr>
        <w:keepNext/>
        <w:keepLines/>
        <w:pageBreakBefore/>
        <w:widowControl/>
        <w:adjustRightInd w:val="0"/>
        <w:snapToGrid w:val="0"/>
        <w:jc w:val="left"/>
        <w:textAlignment w:val="baseline"/>
        <w:outlineLvl w:val="0"/>
        <w:rPr>
          <w:rFonts w:ascii="Times New Roman" w:hAnsi="Times New Roman" w:eastAsia="宋体" w:cs="Times New Roman"/>
          <w:b/>
          <w:bCs/>
          <w:kern w:val="0"/>
          <w:sz w:val="24"/>
          <w:szCs w:val="21"/>
          <w:u w:val="none"/>
        </w:rPr>
      </w:pPr>
      <w:r>
        <w:rPr>
          <w:rFonts w:hint="default" w:ascii="Times New Roman" w:hAnsi="Times New Roman" w:eastAsia="宋体" w:cs="Times New Roman"/>
          <w:b/>
          <w:bCs/>
          <w:kern w:val="0"/>
          <w:sz w:val="24"/>
          <w:szCs w:val="21"/>
          <w:u w:val="none"/>
        </w:rPr>
        <w:t>附件2项目核准</w:t>
      </w:r>
      <w:bookmarkStart w:id="265" w:name="_Toc31374"/>
      <w:bookmarkStart w:id="266" w:name="_Toc37250315"/>
    </w:p>
    <w:p w14:paraId="787192DD">
      <w:pPr>
        <w:pStyle w:val="13"/>
        <w:jc w:val="both"/>
        <w:rPr>
          <w:u w:val="none"/>
        </w:rPr>
      </w:pPr>
    </w:p>
    <w:p w14:paraId="041E25BE">
      <w:pPr>
        <w:rPr>
          <w:u w:val="none"/>
        </w:rPr>
      </w:pPr>
      <w:r>
        <w:rPr>
          <w:u w:val="none"/>
        </w:rPr>
        <w:br w:type="page"/>
      </w:r>
    </w:p>
    <w:p w14:paraId="25D82BB7">
      <w:pPr>
        <w:pageBreakBefore/>
        <w:widowControl/>
        <w:adjustRightInd w:val="0"/>
        <w:snapToGrid w:val="0"/>
        <w:spacing w:before="0" w:after="0"/>
        <w:jc w:val="left"/>
        <w:textAlignment w:val="baseline"/>
        <w:outlineLvl w:val="0"/>
        <w:rPr>
          <w:rFonts w:ascii="Times New Roman" w:hAnsi="Times New Roman" w:eastAsia="宋体" w:cs="Times New Roman"/>
          <w:b/>
          <w:bCs/>
          <w:kern w:val="0"/>
          <w:szCs w:val="21"/>
          <w:u w:val="none"/>
        </w:rPr>
      </w:pPr>
      <w:bookmarkStart w:id="267" w:name="_Toc1211"/>
      <w:bookmarkStart w:id="268" w:name="_Toc10760"/>
      <w:bookmarkStart w:id="269" w:name="_Toc22562"/>
      <w:bookmarkStart w:id="270" w:name="_Toc14138"/>
      <w:bookmarkStart w:id="271" w:name="_Toc19854"/>
      <w:bookmarkStart w:id="272" w:name="_Toc21850"/>
      <w:bookmarkStart w:id="273" w:name="_Toc18259"/>
      <w:bookmarkStart w:id="274" w:name="_Toc15632"/>
      <w:r>
        <w:rPr>
          <w:rFonts w:hint="default" w:ascii="Times New Roman" w:hAnsi="Times New Roman" w:eastAsia="宋体" w:cs="Times New Roman"/>
          <w:b/>
          <w:bCs/>
          <w:kern w:val="0"/>
          <w:sz w:val="24"/>
          <w:szCs w:val="21"/>
          <w:u w:val="none"/>
        </w:rPr>
        <w:t>附件</w:t>
      </w:r>
      <w:bookmarkEnd w:id="265"/>
      <w:r>
        <w:rPr>
          <w:rFonts w:hint="default" w:ascii="Times New Roman" w:hAnsi="Times New Roman" w:eastAsia="宋体" w:cs="Times New Roman"/>
          <w:b/>
          <w:bCs/>
          <w:kern w:val="0"/>
          <w:sz w:val="24"/>
          <w:szCs w:val="21"/>
          <w:u w:val="none"/>
        </w:rPr>
        <w:t>3本项目监测报</w:t>
      </w:r>
      <w:bookmarkEnd w:id="267"/>
      <w:bookmarkEnd w:id="268"/>
      <w:bookmarkEnd w:id="269"/>
      <w:bookmarkEnd w:id="270"/>
      <w:r>
        <w:rPr>
          <w:rFonts w:hint="default" w:ascii="Times New Roman" w:hAnsi="Times New Roman" w:eastAsia="宋体" w:cs="Times New Roman"/>
          <w:b/>
          <w:bCs/>
          <w:kern w:val="0"/>
          <w:sz w:val="24"/>
          <w:szCs w:val="21"/>
          <w:u w:val="none"/>
        </w:rPr>
        <w:t>告</w:t>
      </w:r>
      <w:bookmarkEnd w:id="271"/>
      <w:bookmarkEnd w:id="272"/>
      <w:bookmarkEnd w:id="273"/>
      <w:bookmarkEnd w:id="274"/>
      <w:bookmarkStart w:id="275" w:name="_Toc20467"/>
      <w:bookmarkStart w:id="276" w:name="_Toc9497"/>
      <w:bookmarkStart w:id="277" w:name="_Toc30323"/>
      <w:bookmarkStart w:id="278" w:name="_Toc507"/>
      <w:bookmarkStart w:id="279" w:name="_Toc571"/>
      <w:bookmarkStart w:id="280" w:name="_Toc6529"/>
      <w:bookmarkStart w:id="281" w:name="_Toc24304"/>
      <w:bookmarkStart w:id="282" w:name="_Toc30625"/>
    </w:p>
    <w:p w14:paraId="372F27A1">
      <w:pPr>
        <w:widowControl/>
        <w:spacing w:before="0" w:after="0"/>
        <w:jc w:val="left"/>
        <w:outlineLvl w:val="9"/>
        <w:rPr>
          <w:rFonts w:hint="eastAsia" w:eastAsia="宋体"/>
          <w:u w:val="none"/>
          <w:lang w:eastAsia="zh-CN"/>
        </w:rPr>
      </w:pPr>
    </w:p>
    <w:p w14:paraId="71DD41F8">
      <w:pPr>
        <w:widowControl/>
        <w:spacing w:before="0" w:after="0"/>
        <w:outlineLvl w:val="9"/>
        <w:rPr>
          <w:rFonts w:hint="default" w:eastAsia="宋体"/>
          <w:b/>
          <w:bCs/>
          <w:u w:val="none"/>
          <w:lang w:val="en-US" w:eastAsia="zh-CN"/>
        </w:rPr>
      </w:pPr>
      <w:r>
        <w:rPr>
          <w:rFonts w:ascii="Times New Roman" w:hAnsi="Times New Roman" w:eastAsia="宋体" w:cs="Times New Roman"/>
          <w:kern w:val="0"/>
          <w:sz w:val="24"/>
          <w:szCs w:val="21"/>
          <w:u w:val="none"/>
        </w:rPr>
        <w:t>附件</w:t>
      </w:r>
      <w:r>
        <w:rPr>
          <w:rFonts w:hint="default" w:ascii="Times New Roman" w:hAnsi="Times New Roman" w:eastAsia="宋体" w:cs="Times New Roman"/>
          <w:kern w:val="0"/>
          <w:sz w:val="24"/>
          <w:szCs w:val="21"/>
          <w:u w:val="none"/>
        </w:rPr>
        <w:t>4</w:t>
      </w:r>
      <w:r>
        <w:rPr>
          <w:rFonts w:ascii="Times New Roman" w:hAnsi="Times New Roman" w:eastAsia="宋体" w:cs="Times New Roman"/>
          <w:kern w:val="0"/>
          <w:sz w:val="24"/>
          <w:szCs w:val="21"/>
          <w:u w:val="none"/>
        </w:rPr>
        <w:t>本项目类比</w:t>
      </w:r>
      <w:r>
        <w:rPr>
          <w:rFonts w:ascii="Times New Roman" w:hAnsi="Times New Roman" w:cs="Times New Roman"/>
          <w:kern w:val="0"/>
          <w:sz w:val="24"/>
          <w:szCs w:val="21"/>
          <w:u w:val="none"/>
        </w:rPr>
        <w:t>监测</w:t>
      </w:r>
      <w:r>
        <w:rPr>
          <w:rFonts w:ascii="Times New Roman" w:hAnsi="Times New Roman" w:eastAsia="宋体" w:cs="Times New Roman"/>
          <w:kern w:val="0"/>
          <w:sz w:val="24"/>
          <w:szCs w:val="21"/>
          <w:u w:val="none"/>
        </w:rPr>
        <w:t>报告</w:t>
      </w:r>
      <w:bookmarkEnd w:id="266"/>
      <w:bookmarkEnd w:id="275"/>
      <w:bookmarkEnd w:id="276"/>
      <w:bookmarkEnd w:id="277"/>
      <w:bookmarkEnd w:id="278"/>
      <w:bookmarkEnd w:id="279"/>
      <w:bookmarkEnd w:id="280"/>
      <w:bookmarkEnd w:id="281"/>
      <w:bookmarkEnd w:id="282"/>
      <w:bookmarkStart w:id="283" w:name="_Toc19157"/>
      <w:bookmarkStart w:id="284" w:name="_Toc30842"/>
      <w:bookmarkStart w:id="285" w:name="_Toc13552"/>
      <w:bookmarkStart w:id="286" w:name="_Toc28343"/>
      <w:bookmarkStart w:id="287" w:name="_Toc8801"/>
      <w:bookmarkStart w:id="288" w:name="_Toc9727"/>
    </w:p>
    <w:p w14:paraId="54553997">
      <w:pPr>
        <w:rPr>
          <w:rFonts w:hint="default" w:eastAsia="宋体"/>
          <w:b/>
          <w:bCs/>
          <w:u w:val="none"/>
          <w:lang w:val="en-US" w:eastAsia="zh-CN"/>
        </w:rPr>
      </w:pPr>
      <w:r>
        <w:rPr>
          <w:rFonts w:hint="default" w:eastAsia="宋体"/>
          <w:b/>
          <w:bCs/>
          <w:u w:val="none"/>
          <w:lang w:val="en-US" w:eastAsia="zh-CN"/>
        </w:rPr>
        <w:br w:type="page"/>
      </w:r>
    </w:p>
    <w:p w14:paraId="41EB5E49">
      <w:pPr>
        <w:pStyle w:val="2"/>
        <w:widowControl/>
        <w:spacing w:before="0" w:after="0"/>
        <w:jc w:val="both"/>
        <w:rPr>
          <w:rFonts w:ascii="Times New Roman" w:hAnsi="Times New Roman"/>
          <w:sz w:val="24"/>
          <w:szCs w:val="24"/>
          <w:u w:val="none"/>
        </w:rPr>
      </w:pPr>
      <w:bookmarkStart w:id="289" w:name="_Toc10317"/>
      <w:bookmarkStart w:id="290" w:name="_Toc6853"/>
      <w:r>
        <w:rPr>
          <w:rFonts w:ascii="Times New Roman" w:hAnsi="Times New Roman"/>
          <w:sz w:val="24"/>
          <w:szCs w:val="24"/>
          <w:u w:val="none"/>
        </w:rPr>
        <w:t>附件</w:t>
      </w:r>
      <w:r>
        <w:rPr>
          <w:rFonts w:hint="eastAsia" w:ascii="Times New Roman" w:hAnsi="Times New Roman"/>
          <w:sz w:val="24"/>
          <w:szCs w:val="24"/>
          <w:u w:val="none"/>
        </w:rPr>
        <w:t>5</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rPr>
        <w:t>220kV</w:t>
      </w:r>
      <w:r>
        <w:rPr>
          <w:rFonts w:hint="eastAsia" w:ascii="Times New Roman" w:hAnsi="Times New Roman"/>
          <w:sz w:val="24"/>
          <w:szCs w:val="24"/>
          <w:u w:val="none"/>
          <w:lang w:val="en-US" w:eastAsia="zh-CN"/>
        </w:rPr>
        <w:t>果山</w:t>
      </w:r>
      <w:r>
        <w:rPr>
          <w:rFonts w:ascii="Times New Roman" w:hAnsi="Times New Roman"/>
          <w:sz w:val="24"/>
          <w:szCs w:val="24"/>
          <w:u w:val="none"/>
        </w:rPr>
        <w:t>变电站</w:t>
      </w:r>
      <w:r>
        <w:rPr>
          <w:rFonts w:hint="eastAsia" w:ascii="Times New Roman" w:hAnsi="Times New Roman"/>
          <w:sz w:val="24"/>
          <w:szCs w:val="24"/>
          <w:u w:val="none"/>
        </w:rPr>
        <w:t>竣工</w:t>
      </w:r>
      <w:r>
        <w:rPr>
          <w:rFonts w:hint="eastAsia"/>
          <w:sz w:val="24"/>
          <w:szCs w:val="24"/>
          <w:u w:val="none"/>
          <w:lang w:val="en-US" w:eastAsia="zh-CN"/>
        </w:rPr>
        <w:t>环保验收</w:t>
      </w:r>
      <w:r>
        <w:rPr>
          <w:rFonts w:hint="eastAsia" w:ascii="Times New Roman" w:hAnsi="Times New Roman"/>
          <w:sz w:val="24"/>
          <w:szCs w:val="24"/>
          <w:u w:val="none"/>
        </w:rPr>
        <w:t>批复</w:t>
      </w:r>
      <w:bookmarkEnd w:id="289"/>
      <w:bookmarkEnd w:id="290"/>
    </w:p>
    <w:bookmarkEnd w:id="283"/>
    <w:bookmarkEnd w:id="284"/>
    <w:bookmarkEnd w:id="285"/>
    <w:bookmarkEnd w:id="286"/>
    <w:bookmarkEnd w:id="287"/>
    <w:bookmarkEnd w:id="288"/>
    <w:p w14:paraId="4FCDEDDB">
      <w:pPr>
        <w:pStyle w:val="2"/>
        <w:widowControl/>
        <w:spacing w:before="0" w:after="0"/>
        <w:jc w:val="left"/>
        <w:rPr>
          <w:rFonts w:ascii="Times New Roman" w:hAnsi="Times New Roman"/>
          <w:sz w:val="24"/>
          <w:szCs w:val="24"/>
          <w:u w:val="none"/>
        </w:rPr>
      </w:pPr>
      <w:bookmarkStart w:id="291" w:name="_Toc29546"/>
      <w:bookmarkStart w:id="292" w:name="_Toc4172"/>
      <w:bookmarkStart w:id="293" w:name="_Toc21759"/>
      <w:bookmarkStart w:id="294" w:name="_Toc7726"/>
      <w:r>
        <w:rPr>
          <w:rFonts w:ascii="Times New Roman" w:hAnsi="Times New Roman"/>
          <w:sz w:val="24"/>
          <w:szCs w:val="24"/>
          <w:u w:val="none"/>
        </w:rPr>
        <w:t>附件</w:t>
      </w:r>
      <w:r>
        <w:rPr>
          <w:rFonts w:hint="eastAsia" w:ascii="Times New Roman" w:hAnsi="Times New Roman"/>
          <w:sz w:val="24"/>
          <w:szCs w:val="24"/>
          <w:u w:val="none"/>
        </w:rPr>
        <w:t>6</w:t>
      </w:r>
      <w:r>
        <w:rPr>
          <w:rFonts w:hint="eastAsia" w:ascii="Times New Roman" w:hAnsi="Times New Roman"/>
          <w:sz w:val="24"/>
          <w:szCs w:val="24"/>
          <w:u w:val="none"/>
          <w:lang w:val="en-US" w:eastAsia="zh-CN"/>
        </w:rPr>
        <w:t xml:space="preserve"> </w:t>
      </w:r>
      <w:bookmarkEnd w:id="291"/>
      <w:bookmarkEnd w:id="292"/>
      <w:bookmarkEnd w:id="293"/>
      <w:bookmarkEnd w:id="294"/>
      <w:r>
        <w:rPr>
          <w:rFonts w:hint="eastAsia" w:ascii="Times New Roman" w:hAnsi="Times New Roman"/>
          <w:sz w:val="24"/>
          <w:szCs w:val="24"/>
          <w:u w:val="none"/>
        </w:rPr>
        <w:t>220kV果山变不动产权证书</w:t>
      </w:r>
    </w:p>
    <w:p w14:paraId="7024EA47">
      <w:pPr>
        <w:pStyle w:val="2"/>
        <w:widowControl/>
        <w:rPr>
          <w:rFonts w:hint="eastAsia"/>
          <w:b/>
          <w:bCs/>
          <w:sz w:val="24"/>
          <w:szCs w:val="24"/>
          <w:u w:val="none"/>
          <w:lang w:val="en-US" w:eastAsia="zh-CN"/>
        </w:rPr>
      </w:pPr>
      <w:r>
        <w:rPr>
          <w:rFonts w:hint="eastAsia"/>
          <w:b/>
          <w:bCs/>
          <w:sz w:val="24"/>
          <w:szCs w:val="24"/>
          <w:u w:val="none"/>
          <w:lang w:val="en-US" w:eastAsia="zh-CN"/>
        </w:rPr>
        <w:t>附件7危险废物处置合同</w:t>
      </w:r>
    </w:p>
    <w:p w14:paraId="147E77C2">
      <w:pPr>
        <w:pStyle w:val="13"/>
        <w:jc w:val="center"/>
        <w:rPr>
          <w:rFonts w:hint="eastAsia"/>
          <w:b/>
          <w:bCs/>
          <w:sz w:val="24"/>
          <w:szCs w:val="24"/>
          <w:u w:val="none"/>
          <w:lang w:val="en-US" w:eastAsia="zh-CN"/>
        </w:rPr>
      </w:pPr>
    </w:p>
    <w:p w14:paraId="6715B579">
      <w:pPr>
        <w:pStyle w:val="13"/>
        <w:jc w:val="center"/>
        <w:rPr>
          <w:rFonts w:hint="eastAsia"/>
          <w:sz w:val="24"/>
          <w:szCs w:val="24"/>
          <w:u w:val="none"/>
        </w:rPr>
      </w:pPr>
    </w:p>
    <w:p w14:paraId="045456C1">
      <w:pPr>
        <w:pStyle w:val="13"/>
        <w:jc w:val="center"/>
        <w:rPr>
          <w:rFonts w:hint="eastAsia"/>
          <w:sz w:val="24"/>
          <w:szCs w:val="24"/>
          <w:u w:val="none"/>
        </w:rPr>
      </w:pPr>
    </w:p>
    <w:p w14:paraId="3E164D32">
      <w:pPr>
        <w:pStyle w:val="2"/>
        <w:widowControl/>
        <w:adjustRightInd w:val="0"/>
        <w:snapToGrid w:val="0"/>
        <w:spacing w:before="0" w:beforeLines="80"/>
        <w:jc w:val="left"/>
        <w:rPr>
          <w:rFonts w:hint="eastAsia"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14:textFill>
            <w14:solidFill>
              <w14:schemeClr w14:val="tx1"/>
            </w14:solidFill>
          </w14:textFill>
        </w:rPr>
        <w:t>附件</w:t>
      </w:r>
      <w:r>
        <w:rPr>
          <w:rFonts w:hint="eastAsia" w:cs="Times New Roman"/>
          <w:b/>
          <w:color w:val="000000" w:themeColor="text1"/>
          <w:sz w:val="24"/>
          <w:szCs w:val="24"/>
          <w:u w:val="none"/>
          <w:lang w:val="en-US" w:eastAsia="zh-CN"/>
          <w14:textFill>
            <w14:solidFill>
              <w14:schemeClr w14:val="tx1"/>
            </w14:solidFill>
          </w14:textFill>
        </w:rPr>
        <w:t>8 废旧蓄电池回收协议</w:t>
      </w:r>
    </w:p>
    <w:p w14:paraId="587D8B6F">
      <w:pPr>
        <w:pStyle w:val="2"/>
        <w:widowControl/>
        <w:adjustRightInd w:val="0"/>
        <w:snapToGrid w:val="0"/>
        <w:spacing w:before="0" w:beforeLines="80"/>
        <w:jc w:val="left"/>
        <w:rPr>
          <w:rFonts w:hint="eastAsia" w:cs="Times New Roman"/>
          <w:b/>
          <w:color w:val="000000" w:themeColor="text1"/>
          <w:sz w:val="24"/>
          <w:szCs w:val="24"/>
          <w:u w:val="none"/>
          <w:lang w:val="en-US" w:eastAsia="zh-CN"/>
          <w14:textFill>
            <w14:solidFill>
              <w14:schemeClr w14:val="tx1"/>
            </w14:solidFill>
          </w14:textFill>
        </w:rPr>
      </w:pPr>
      <w:r>
        <w:rPr>
          <w:u w:val="none"/>
        </w:rPr>
        <w:br w:type="page"/>
      </w:r>
      <w:r>
        <w:rPr>
          <w:rFonts w:hint="default" w:ascii="Times New Roman" w:hAnsi="Times New Roman" w:eastAsia="宋体" w:cs="Times New Roman"/>
          <w:b/>
          <w:color w:val="000000" w:themeColor="text1"/>
          <w:sz w:val="24"/>
          <w:szCs w:val="24"/>
          <w:u w:val="none"/>
          <w14:textFill>
            <w14:solidFill>
              <w14:schemeClr w14:val="tx1"/>
            </w14:solidFill>
          </w14:textFill>
        </w:rPr>
        <w:t>附件</w:t>
      </w:r>
      <w:r>
        <w:rPr>
          <w:rFonts w:hint="eastAsia" w:cs="Times New Roman"/>
          <w:b/>
          <w:color w:val="000000" w:themeColor="text1"/>
          <w:sz w:val="24"/>
          <w:szCs w:val="24"/>
          <w:u w:val="none"/>
          <w:lang w:val="en-US" w:eastAsia="zh-CN"/>
          <w14:textFill>
            <w14:solidFill>
              <w14:schemeClr w14:val="tx1"/>
            </w14:solidFill>
          </w14:textFill>
        </w:rPr>
        <w:t>9 《阳和工业新区产业发展规划（2021-2025年）环境影响报告书》审查意见的函</w:t>
      </w:r>
    </w:p>
    <w:p w14:paraId="0E6F9DD9">
      <w:pPr>
        <w:jc w:val="center"/>
        <w:rPr>
          <w:u w:val="none"/>
        </w:rPr>
      </w:pPr>
      <w:r>
        <w:rPr>
          <w:u w:val="none"/>
        </w:rPr>
        <w:br w:type="page"/>
      </w:r>
    </w:p>
    <w:p w14:paraId="367102BA">
      <w:pPr>
        <w:pStyle w:val="2"/>
        <w:widowControl/>
        <w:adjustRightInd w:val="0"/>
        <w:snapToGrid w:val="0"/>
        <w:spacing w:before="0" w:beforeLines="80"/>
        <w:jc w:val="left"/>
        <w:rPr>
          <w:rFonts w:hint="eastAsia"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14:textFill>
            <w14:solidFill>
              <w14:schemeClr w14:val="tx1"/>
            </w14:solidFill>
          </w14:textFill>
        </w:rPr>
        <w:t>附件</w:t>
      </w:r>
      <w:r>
        <w:rPr>
          <w:rFonts w:hint="eastAsia" w:cs="Times New Roman"/>
          <w:b/>
          <w:color w:val="000000" w:themeColor="text1"/>
          <w:sz w:val="24"/>
          <w:szCs w:val="24"/>
          <w:u w:val="none"/>
          <w:lang w:val="en-US" w:eastAsia="zh-CN"/>
          <w14:textFill>
            <w14:solidFill>
              <w14:schemeClr w14:val="tx1"/>
            </w14:solidFill>
          </w14:textFill>
        </w:rPr>
        <w:t>10 《500kV柳南变电站220kV配套送出工程(噪声及固体废物除外)竣工环境保护验收意见》</w:t>
      </w:r>
    </w:p>
    <w:p w14:paraId="6F79C3F2">
      <w:r>
        <w:br w:type="page"/>
      </w:r>
    </w:p>
    <w:p w14:paraId="4F1FF983">
      <w:pPr>
        <w:pStyle w:val="2"/>
        <w:widowControl/>
        <w:adjustRightInd w:val="0"/>
        <w:snapToGrid w:val="0"/>
        <w:spacing w:before="0" w:beforeLines="80"/>
        <w:jc w:val="left"/>
        <w:rPr>
          <w:rFonts w:hint="eastAsia"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14:textFill>
            <w14:solidFill>
              <w14:schemeClr w14:val="tx1"/>
            </w14:solidFill>
          </w14:textFill>
        </w:rPr>
        <w:t>附件</w:t>
      </w:r>
      <w:r>
        <w:rPr>
          <w:rFonts w:hint="eastAsia" w:cs="Times New Roman"/>
          <w:b/>
          <w:color w:val="000000" w:themeColor="text1"/>
          <w:sz w:val="24"/>
          <w:szCs w:val="24"/>
          <w:u w:val="none"/>
          <w:lang w:val="en-US" w:eastAsia="zh-CN"/>
          <w14:textFill>
            <w14:solidFill>
              <w14:schemeClr w14:val="tx1"/>
            </w14:solidFill>
          </w14:textFill>
        </w:rPr>
        <w:t>11 《110kV 江口送变电工程竣工环境保护验收意见》</w:t>
      </w:r>
    </w:p>
    <w:p w14:paraId="4AEDCA12">
      <w:pPr>
        <w:jc w:val="center"/>
        <w:rPr>
          <w:rFonts w:hint="default"/>
          <w:lang w:val="en-US" w:eastAsia="zh-CN"/>
        </w:rPr>
      </w:pPr>
      <w:r>
        <w:rPr>
          <w:rFonts w:hint="default"/>
          <w:lang w:val="en-US" w:eastAsia="zh-CN"/>
        </w:rPr>
        <w:br w:type="page"/>
      </w:r>
    </w:p>
    <w:p w14:paraId="07C19AC1">
      <w:pPr>
        <w:rPr>
          <w:rFonts w:hint="eastAsia"/>
          <w:b/>
          <w:bCs/>
          <w:u w:val="none"/>
          <w:lang w:eastAsia="zh-CN"/>
        </w:rPr>
      </w:pPr>
      <w:r>
        <w:rPr>
          <w:rFonts w:hint="eastAsia"/>
          <w:b/>
          <w:bCs/>
          <w:u w:val="none"/>
          <w:lang w:val="en-US" w:eastAsia="zh-CN"/>
        </w:rPr>
        <w:t>附件12《关于220kV果山变电站扩建工程建设项目环境影响报告表的批复</w:t>
      </w:r>
      <w:r>
        <w:rPr>
          <w:rFonts w:hint="eastAsia"/>
          <w:b/>
          <w:bCs/>
          <w:u w:val="none"/>
          <w:lang w:eastAsia="zh-CN"/>
        </w:rPr>
        <w:t>》</w:t>
      </w:r>
    </w:p>
    <w:p w14:paraId="4D25E14D">
      <w:pPr>
        <w:jc w:val="center"/>
        <w:rPr>
          <w:rFonts w:hint="default"/>
          <w:lang w:val="en-US" w:eastAsia="zh-CN"/>
        </w:rPr>
      </w:pPr>
      <w:r>
        <w:rPr>
          <w:rFonts w:hint="default"/>
          <w:lang w:val="en-US" w:eastAsia="zh-CN"/>
        </w:rPr>
        <w:br w:type="page"/>
      </w:r>
    </w:p>
    <w:p w14:paraId="583F898E">
      <w:pPr>
        <w:pStyle w:val="9"/>
        <w:rPr>
          <w:rFonts w:hint="default"/>
          <w:lang w:val="en-US" w:eastAsia="zh-CN"/>
        </w:rPr>
        <w:sectPr>
          <w:footerReference r:id="rId9" w:type="default"/>
          <w:pgSz w:w="11906" w:h="16838"/>
          <w:pgMar w:top="851" w:right="1021" w:bottom="907" w:left="964" w:header="851" w:footer="1077" w:gutter="0"/>
          <w:cols w:space="720" w:num="1"/>
          <w:docGrid w:linePitch="312" w:charSpace="0"/>
        </w:sectPr>
      </w:pPr>
    </w:p>
    <w:p w14:paraId="1492E980">
      <w:pPr>
        <w:jc w:val="both"/>
        <w:rPr>
          <w:rFonts w:hint="eastAsia"/>
          <w:b/>
          <w:bCs/>
          <w:u w:val="none"/>
          <w:lang w:val="en-US" w:eastAsia="zh-CN"/>
        </w:rPr>
      </w:pPr>
      <w:r>
        <w:rPr>
          <w:rFonts w:hint="eastAsia"/>
          <w:b/>
          <w:bCs/>
          <w:u w:val="none"/>
          <w:lang w:val="en-US" w:eastAsia="zh-CN"/>
        </w:rPr>
        <w:t>附图1 本工程地理位置图</w:t>
      </w:r>
    </w:p>
    <w:p w14:paraId="1DEEFFBF">
      <w:pPr>
        <w:jc w:val="both"/>
        <w:rPr>
          <w:u w:val="none"/>
        </w:rPr>
        <w:sectPr>
          <w:pgSz w:w="11906" w:h="16838"/>
          <w:pgMar w:top="851" w:right="1021" w:bottom="907" w:left="964" w:header="851" w:footer="1077" w:gutter="0"/>
          <w:cols w:space="720" w:num="1"/>
          <w:docGrid w:linePitch="312" w:charSpace="0"/>
        </w:sectPr>
      </w:pPr>
    </w:p>
    <w:p w14:paraId="27193951">
      <w:pPr>
        <w:rPr>
          <w:u w:val="none"/>
        </w:rPr>
      </w:pPr>
    </w:p>
    <w:p w14:paraId="18C142A5">
      <w:pPr>
        <w:widowControl/>
        <w:adjustRightInd w:val="0"/>
        <w:snapToGrid w:val="0"/>
        <w:spacing w:before="192" w:beforeLines="80"/>
        <w:jc w:val="center"/>
        <w:rPr>
          <w:b/>
          <w:bCs/>
          <w:u w:val="none"/>
        </w:rPr>
      </w:pPr>
    </w:p>
    <w:p w14:paraId="57E83368">
      <w:pPr>
        <w:adjustRightInd w:val="0"/>
        <w:snapToGrid w:val="0"/>
        <w:jc w:val="center"/>
        <w:outlineLvl w:val="0"/>
        <w:rPr>
          <w:b/>
          <w:bCs/>
          <w:u w:val="none"/>
        </w:rPr>
      </w:pPr>
      <w:bookmarkStart w:id="295" w:name="_Toc12133"/>
      <w:bookmarkStart w:id="296" w:name="_Toc10621"/>
      <w:bookmarkStart w:id="297" w:name="_Toc29554"/>
      <w:bookmarkStart w:id="298" w:name="_Toc6760"/>
      <w:bookmarkStart w:id="299" w:name="_Toc18687"/>
      <w:bookmarkStart w:id="300" w:name="_Toc688"/>
      <w:bookmarkStart w:id="301" w:name="_Toc10098"/>
      <w:bookmarkStart w:id="302" w:name="_Toc7688"/>
      <w:bookmarkStart w:id="303" w:name="_Toc15577"/>
      <w:bookmarkStart w:id="304" w:name="_Toc28542"/>
      <w:bookmarkStart w:id="305" w:name="_Toc19880"/>
      <w:r>
        <w:rPr>
          <w:b/>
          <w:u w:val="none"/>
        </w:rPr>
        <w:t>附图</w:t>
      </w:r>
      <w:r>
        <w:rPr>
          <w:rFonts w:hint="eastAsia"/>
          <w:b/>
          <w:u w:val="none"/>
          <w:lang w:val="en-US" w:eastAsia="zh-CN"/>
        </w:rPr>
        <w:t>2</w:t>
      </w:r>
      <w:r>
        <w:rPr>
          <w:rFonts w:hint="eastAsia"/>
          <w:b/>
          <w:bCs/>
          <w:u w:val="none"/>
        </w:rPr>
        <w:t>本项目与三线一单分区管控图的位置关系图</w:t>
      </w:r>
      <w:bookmarkEnd w:id="295"/>
      <w:bookmarkEnd w:id="296"/>
      <w:bookmarkEnd w:id="297"/>
      <w:bookmarkEnd w:id="298"/>
      <w:bookmarkEnd w:id="299"/>
      <w:bookmarkEnd w:id="300"/>
      <w:bookmarkEnd w:id="301"/>
      <w:bookmarkEnd w:id="302"/>
      <w:bookmarkEnd w:id="303"/>
      <w:bookmarkEnd w:id="304"/>
      <w:bookmarkEnd w:id="305"/>
    </w:p>
    <w:p w14:paraId="7CD30EF8">
      <w:pPr>
        <w:jc w:val="center"/>
        <w:rPr>
          <w:u w:val="none"/>
        </w:rPr>
      </w:pPr>
    </w:p>
    <w:p w14:paraId="1BBFEA21">
      <w:pPr>
        <w:pStyle w:val="13"/>
        <w:jc w:val="center"/>
        <w:outlineLvl w:val="0"/>
        <w:rPr>
          <w:b/>
          <w:bCs/>
          <w:sz w:val="24"/>
          <w:szCs w:val="24"/>
          <w:u w:val="none"/>
        </w:rPr>
      </w:pPr>
      <w:bookmarkStart w:id="306" w:name="_Toc30151"/>
      <w:bookmarkStart w:id="307" w:name="_Toc31586"/>
      <w:bookmarkStart w:id="308" w:name="_Toc10146"/>
      <w:bookmarkStart w:id="309" w:name="_Toc22575"/>
      <w:bookmarkStart w:id="310" w:name="_Toc216"/>
      <w:bookmarkStart w:id="311" w:name="_Toc22573"/>
      <w:bookmarkStart w:id="312" w:name="_Toc22539"/>
      <w:bookmarkStart w:id="313" w:name="_Toc32641"/>
      <w:bookmarkStart w:id="314" w:name="_Toc15134"/>
      <w:bookmarkStart w:id="315" w:name="_Toc7606"/>
      <w:bookmarkStart w:id="316" w:name="_Toc28987"/>
      <w:r>
        <w:rPr>
          <w:rFonts w:hint="eastAsia"/>
          <w:b/>
          <w:bCs/>
          <w:sz w:val="24"/>
          <w:szCs w:val="24"/>
          <w:u w:val="none"/>
        </w:rPr>
        <w:t>附图</w:t>
      </w:r>
      <w:r>
        <w:rPr>
          <w:rFonts w:hint="eastAsia"/>
          <w:b/>
          <w:bCs/>
          <w:sz w:val="24"/>
          <w:szCs w:val="24"/>
          <w:u w:val="none"/>
          <w:lang w:val="en-US" w:eastAsia="zh-CN"/>
        </w:rPr>
        <w:t>3</w:t>
      </w:r>
      <w:r>
        <w:rPr>
          <w:rFonts w:hint="eastAsia"/>
          <w:b/>
          <w:sz w:val="24"/>
          <w:szCs w:val="24"/>
          <w:u w:val="none"/>
        </w:rPr>
        <w:t>本项目与主体功能区规划的位置关系图</w:t>
      </w:r>
      <w:bookmarkEnd w:id="306"/>
      <w:bookmarkEnd w:id="307"/>
      <w:bookmarkEnd w:id="308"/>
      <w:bookmarkEnd w:id="309"/>
      <w:bookmarkEnd w:id="310"/>
      <w:bookmarkEnd w:id="311"/>
      <w:bookmarkEnd w:id="312"/>
      <w:bookmarkEnd w:id="313"/>
      <w:bookmarkEnd w:id="314"/>
      <w:bookmarkEnd w:id="315"/>
      <w:bookmarkEnd w:id="316"/>
    </w:p>
    <w:p w14:paraId="690EE8D9">
      <w:pPr>
        <w:adjustRightInd w:val="0"/>
        <w:snapToGrid w:val="0"/>
        <w:jc w:val="center"/>
        <w:rPr>
          <w:u w:val="none"/>
        </w:rPr>
      </w:pPr>
    </w:p>
    <w:p w14:paraId="14DFCC72">
      <w:pPr>
        <w:widowControl/>
        <w:jc w:val="center"/>
        <w:rPr>
          <w:b/>
          <w:u w:val="none"/>
        </w:rPr>
      </w:pPr>
      <w:bookmarkStart w:id="317" w:name="_Toc31211"/>
      <w:bookmarkStart w:id="318" w:name="_Toc19776"/>
      <w:r>
        <w:rPr>
          <w:b/>
          <w:bCs/>
          <w:u w:val="none"/>
        </w:rPr>
        <w:t>附图</w:t>
      </w:r>
      <w:r>
        <w:rPr>
          <w:rFonts w:hint="eastAsia"/>
          <w:b/>
          <w:bCs/>
          <w:u w:val="none"/>
          <w:lang w:val="en-US" w:eastAsia="zh-CN"/>
        </w:rPr>
        <w:t xml:space="preserve">4 </w:t>
      </w:r>
      <w:r>
        <w:rPr>
          <w:b/>
          <w:bCs/>
          <w:u w:val="none"/>
        </w:rPr>
        <w:t>监测点位示意图</w:t>
      </w:r>
      <w:bookmarkEnd w:id="317"/>
      <w:bookmarkEnd w:id="318"/>
    </w:p>
    <w:p w14:paraId="524E7169">
      <w:pPr>
        <w:adjustRightInd w:val="0"/>
        <w:snapToGrid w:val="0"/>
        <w:jc w:val="center"/>
        <w:outlineLvl w:val="0"/>
        <w:rPr>
          <w:b/>
          <w:u w:val="none"/>
        </w:rPr>
      </w:pPr>
      <w:bookmarkStart w:id="319" w:name="_Toc17991"/>
      <w:bookmarkStart w:id="320" w:name="_Toc29990"/>
      <w:bookmarkStart w:id="321" w:name="_Toc5579"/>
      <w:bookmarkStart w:id="322" w:name="_Toc15751"/>
    </w:p>
    <w:p w14:paraId="01C82B87">
      <w:pPr>
        <w:adjustRightInd w:val="0"/>
        <w:snapToGrid w:val="0"/>
        <w:jc w:val="center"/>
        <w:outlineLvl w:val="0"/>
        <w:rPr>
          <w:u w:val="none"/>
        </w:rPr>
      </w:pPr>
      <w:bookmarkStart w:id="323" w:name="_Toc2321"/>
      <w:bookmarkStart w:id="324" w:name="_Toc10346"/>
      <w:bookmarkStart w:id="325" w:name="_Toc11545"/>
      <w:bookmarkStart w:id="326" w:name="_Toc4643"/>
      <w:bookmarkStart w:id="327" w:name="_Toc5015"/>
      <w:bookmarkStart w:id="328" w:name="_Toc9314"/>
      <w:bookmarkStart w:id="329" w:name="_Toc19011"/>
      <w:r>
        <w:rPr>
          <w:b/>
          <w:u w:val="none"/>
        </w:rPr>
        <w:t>附图</w:t>
      </w:r>
      <w:r>
        <w:rPr>
          <w:rFonts w:hint="eastAsia"/>
          <w:b/>
          <w:u w:val="none"/>
          <w:lang w:val="en-US" w:eastAsia="zh-CN"/>
        </w:rPr>
        <w:t>5 果山</w:t>
      </w:r>
      <w:r>
        <w:rPr>
          <w:b/>
          <w:u w:val="none"/>
        </w:rPr>
        <w:t>变电站四至图</w:t>
      </w:r>
      <w:bookmarkEnd w:id="319"/>
      <w:bookmarkEnd w:id="320"/>
      <w:bookmarkEnd w:id="321"/>
      <w:bookmarkEnd w:id="322"/>
      <w:bookmarkEnd w:id="323"/>
      <w:bookmarkEnd w:id="324"/>
      <w:bookmarkEnd w:id="325"/>
      <w:bookmarkEnd w:id="326"/>
      <w:bookmarkEnd w:id="327"/>
      <w:bookmarkEnd w:id="328"/>
      <w:bookmarkEnd w:id="329"/>
    </w:p>
    <w:p w14:paraId="085E23C5">
      <w:pPr>
        <w:jc w:val="center"/>
        <w:outlineLvl w:val="0"/>
        <w:rPr>
          <w:b/>
          <w:bCs/>
          <w:u w:val="none"/>
        </w:rPr>
      </w:pPr>
      <w:bookmarkStart w:id="330" w:name="_Toc9733"/>
      <w:bookmarkStart w:id="331" w:name="_Toc13652"/>
      <w:bookmarkStart w:id="332" w:name="_Toc21846"/>
      <w:bookmarkStart w:id="333" w:name="_Toc15903"/>
    </w:p>
    <w:p w14:paraId="053CDF76">
      <w:pPr>
        <w:jc w:val="center"/>
        <w:outlineLvl w:val="0"/>
        <w:rPr>
          <w:u w:val="none"/>
        </w:rPr>
      </w:pPr>
      <w:bookmarkStart w:id="334" w:name="_Toc20109"/>
      <w:bookmarkStart w:id="335" w:name="_Toc15465"/>
      <w:bookmarkStart w:id="336" w:name="_Toc4933"/>
      <w:bookmarkStart w:id="337" w:name="_Toc18650"/>
      <w:bookmarkStart w:id="338" w:name="_Toc29037"/>
      <w:bookmarkStart w:id="339" w:name="_Toc5584"/>
      <w:bookmarkStart w:id="340" w:name="_Toc23708"/>
      <w:r>
        <w:rPr>
          <w:b/>
          <w:bCs/>
          <w:u w:val="none"/>
        </w:rPr>
        <w:t>附图</w:t>
      </w:r>
      <w:r>
        <w:rPr>
          <w:rFonts w:hint="eastAsia"/>
          <w:b/>
          <w:bCs/>
          <w:u w:val="none"/>
          <w:lang w:val="en-US" w:eastAsia="zh-CN"/>
        </w:rPr>
        <w:t xml:space="preserve">6 </w:t>
      </w:r>
      <w:r>
        <w:rPr>
          <w:rFonts w:hint="eastAsia"/>
          <w:b/>
          <w:bCs/>
          <w:u w:val="none"/>
        </w:rPr>
        <w:t>220kV</w:t>
      </w:r>
      <w:r>
        <w:rPr>
          <w:rFonts w:hint="eastAsia"/>
          <w:b/>
          <w:bCs/>
          <w:u w:val="none"/>
          <w:lang w:val="en-US" w:eastAsia="zh-CN"/>
        </w:rPr>
        <w:t>果山</w:t>
      </w:r>
      <w:r>
        <w:rPr>
          <w:b/>
          <w:bCs/>
          <w:u w:val="none"/>
        </w:rPr>
        <w:t>变电站总平面布置图</w:t>
      </w:r>
      <w:bookmarkEnd w:id="330"/>
      <w:bookmarkEnd w:id="331"/>
      <w:bookmarkEnd w:id="332"/>
      <w:bookmarkEnd w:id="333"/>
      <w:bookmarkEnd w:id="334"/>
      <w:bookmarkEnd w:id="335"/>
      <w:bookmarkEnd w:id="336"/>
      <w:bookmarkEnd w:id="337"/>
      <w:bookmarkEnd w:id="338"/>
      <w:bookmarkEnd w:id="339"/>
      <w:bookmarkEnd w:id="340"/>
    </w:p>
    <w:p w14:paraId="0E3B1B91">
      <w:pPr>
        <w:pStyle w:val="13"/>
        <w:jc w:val="center"/>
        <w:rPr>
          <w:u w:val="none"/>
        </w:rPr>
      </w:pPr>
    </w:p>
    <w:p w14:paraId="297F641D">
      <w:pPr>
        <w:pStyle w:val="13"/>
        <w:jc w:val="center"/>
        <w:rPr>
          <w:u w:val="none"/>
        </w:rPr>
      </w:pPr>
      <w:r>
        <w:rPr>
          <w:rFonts w:hint="eastAsia"/>
          <w:b/>
          <w:bCs/>
          <w:sz w:val="24"/>
          <w:szCs w:val="24"/>
          <w:u w:val="none"/>
        </w:rPr>
        <w:t>附图</w:t>
      </w:r>
      <w:r>
        <w:rPr>
          <w:rFonts w:hint="eastAsia"/>
          <w:b/>
          <w:bCs/>
          <w:sz w:val="24"/>
          <w:szCs w:val="24"/>
          <w:u w:val="none"/>
          <w:lang w:val="en-US" w:eastAsia="zh-CN"/>
        </w:rPr>
        <w:t>7声功能区划图</w:t>
      </w:r>
    </w:p>
    <w:p w14:paraId="3ACEB304">
      <w:pPr>
        <w:pStyle w:val="13"/>
        <w:jc w:val="center"/>
        <w:rPr>
          <w:u w:val="none"/>
        </w:rPr>
      </w:pPr>
    </w:p>
    <w:p w14:paraId="5CE467B8">
      <w:pPr>
        <w:pStyle w:val="13"/>
        <w:jc w:val="center"/>
        <w:rPr>
          <w:rFonts w:hint="eastAsia"/>
          <w:u w:val="none"/>
        </w:rPr>
        <w:sectPr>
          <w:pgSz w:w="16838" w:h="11906" w:orient="landscape"/>
          <w:pgMar w:top="964" w:right="851" w:bottom="1021" w:left="907" w:header="851" w:footer="1077" w:gutter="0"/>
          <w:cols w:space="720" w:num="1"/>
          <w:docGrid w:linePitch="312" w:charSpace="0"/>
        </w:sectPr>
      </w:pPr>
      <w:r>
        <w:rPr>
          <w:rFonts w:hint="eastAsia"/>
          <w:b/>
          <w:bCs/>
          <w:sz w:val="24"/>
          <w:szCs w:val="24"/>
          <w:u w:val="none"/>
        </w:rPr>
        <w:t>附图</w:t>
      </w:r>
      <w:r>
        <w:rPr>
          <w:rFonts w:hint="eastAsia"/>
          <w:b/>
          <w:bCs/>
          <w:sz w:val="24"/>
          <w:szCs w:val="24"/>
          <w:u w:val="none"/>
          <w:lang w:val="en-US" w:eastAsia="zh-CN"/>
        </w:rPr>
        <w:t>8</w:t>
      </w:r>
      <w:r>
        <w:rPr>
          <w:rFonts w:hint="eastAsia"/>
          <w:b/>
          <w:bCs/>
          <w:sz w:val="24"/>
          <w:szCs w:val="24"/>
          <w:u w:val="none"/>
        </w:rPr>
        <w:t>本项目与生态功能区规划的位置关系图</w:t>
      </w:r>
    </w:p>
    <w:p w14:paraId="446E375E">
      <w:pPr>
        <w:outlineLvl w:val="0"/>
        <w:rPr>
          <w:rFonts w:hint="default" w:eastAsia="宋体"/>
          <w:b/>
          <w:bCs/>
          <w:u w:val="none"/>
          <w:lang w:val="en-US" w:eastAsia="zh-CN"/>
        </w:rPr>
      </w:pPr>
      <w:bookmarkStart w:id="341" w:name="_Toc10783"/>
      <w:bookmarkStart w:id="342" w:name="_Toc2179"/>
      <w:bookmarkStart w:id="343" w:name="_Toc2758"/>
      <w:bookmarkStart w:id="344" w:name="_Toc9613"/>
      <w:bookmarkStart w:id="345" w:name="_Toc15087"/>
      <w:bookmarkStart w:id="346" w:name="_Toc25619"/>
      <w:bookmarkStart w:id="347" w:name="_Toc27329"/>
      <w:bookmarkStart w:id="348" w:name="_Toc24288"/>
      <w:bookmarkStart w:id="349" w:name="_Toc3035"/>
      <w:bookmarkStart w:id="350" w:name="_Toc15826"/>
      <w:bookmarkStart w:id="351" w:name="_Toc27966"/>
      <w:r>
        <w:rPr>
          <w:b/>
          <w:bCs/>
          <w:u w:val="none"/>
        </w:rPr>
        <w:t>附图</w:t>
      </w:r>
      <w:r>
        <w:rPr>
          <w:rFonts w:hint="eastAsia"/>
          <w:b/>
          <w:bCs/>
          <w:u w:val="none"/>
          <w:lang w:val="en-US" w:eastAsia="zh-CN"/>
        </w:rPr>
        <w:t xml:space="preserve">9 </w:t>
      </w:r>
      <w:r>
        <w:rPr>
          <w:rFonts w:hint="eastAsia"/>
          <w:b/>
          <w:bCs/>
          <w:u w:val="none"/>
        </w:rPr>
        <w:t>220kV</w:t>
      </w:r>
      <w:r>
        <w:rPr>
          <w:rFonts w:hint="eastAsia"/>
          <w:b/>
          <w:bCs/>
          <w:u w:val="none"/>
          <w:lang w:val="en-US" w:eastAsia="zh-CN"/>
        </w:rPr>
        <w:t>果山</w:t>
      </w:r>
      <w:r>
        <w:rPr>
          <w:b/>
          <w:bCs/>
          <w:u w:val="none"/>
        </w:rPr>
        <w:t>变电站</w:t>
      </w:r>
      <w:r>
        <w:rPr>
          <w:rFonts w:hint="eastAsia"/>
          <w:b/>
          <w:bCs/>
          <w:u w:val="none"/>
          <w:lang w:val="en-US" w:eastAsia="zh-CN"/>
        </w:rPr>
        <w:t>与</w:t>
      </w:r>
      <w:r>
        <w:rPr>
          <w:rFonts w:hint="eastAsia"/>
          <w:b/>
          <w:bCs/>
        </w:rPr>
        <w:t>阳和工业新区产业发展规划（2021-2025年）</w:t>
      </w:r>
      <w:r>
        <w:rPr>
          <w:rFonts w:hint="eastAsia"/>
          <w:b/>
          <w:bCs/>
          <w:lang w:val="en-US" w:eastAsia="zh-CN"/>
        </w:rPr>
        <w:t>土地利用图位置关系</w:t>
      </w:r>
    </w:p>
    <w:p w14:paraId="58620F94">
      <w:pPr>
        <w:rPr>
          <w:b/>
          <w:bCs/>
          <w:u w:val="none"/>
        </w:rPr>
      </w:pPr>
      <w:r>
        <w:rPr>
          <w:b/>
          <w:bCs/>
          <w:u w:val="none"/>
        </w:rPr>
        <w:br w:type="page"/>
      </w:r>
    </w:p>
    <w:p w14:paraId="12E7EB15">
      <w:pPr>
        <w:outlineLvl w:val="0"/>
        <w:rPr>
          <w:b/>
          <w:bCs/>
          <w:u w:val="none"/>
        </w:rPr>
      </w:pPr>
      <w:r>
        <w:rPr>
          <w:b/>
          <w:bCs/>
          <w:u w:val="none"/>
        </w:rPr>
        <w:t>附图</w:t>
      </w:r>
      <w:r>
        <w:rPr>
          <w:rFonts w:hint="eastAsia"/>
          <w:b/>
          <w:bCs/>
          <w:u w:val="none"/>
          <w:lang w:val="en-US" w:eastAsia="zh-CN"/>
        </w:rPr>
        <w:t xml:space="preserve">10 </w:t>
      </w:r>
      <w:r>
        <w:rPr>
          <w:rFonts w:hint="eastAsia"/>
          <w:b/>
          <w:bCs/>
          <w:u w:val="none"/>
        </w:rPr>
        <w:t>220kV</w:t>
      </w:r>
      <w:r>
        <w:rPr>
          <w:rFonts w:hint="eastAsia"/>
          <w:b/>
          <w:bCs/>
          <w:u w:val="none"/>
          <w:lang w:val="en-US" w:eastAsia="zh-CN"/>
        </w:rPr>
        <w:t>果山</w:t>
      </w:r>
      <w:r>
        <w:rPr>
          <w:b/>
          <w:bCs/>
          <w:u w:val="none"/>
        </w:rPr>
        <w:t>变电站现状图</w:t>
      </w:r>
      <w:bookmarkEnd w:id="341"/>
      <w:bookmarkEnd w:id="342"/>
      <w:bookmarkEnd w:id="343"/>
      <w:bookmarkEnd w:id="344"/>
      <w:bookmarkEnd w:id="345"/>
      <w:bookmarkEnd w:id="346"/>
      <w:bookmarkEnd w:id="347"/>
      <w:bookmarkEnd w:id="348"/>
      <w:bookmarkEnd w:id="349"/>
      <w:bookmarkEnd w:id="350"/>
      <w:bookmarkEnd w:id="35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544"/>
      </w:tblGrid>
      <w:tr w14:paraId="3DC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10538F21">
            <w:pPr>
              <w:jc w:val="center"/>
              <w:rPr>
                <w:b/>
                <w:bCs/>
                <w:u w:val="none"/>
              </w:rPr>
            </w:pPr>
            <w:r>
              <w:rPr>
                <w:rFonts w:hint="eastAsia"/>
                <w:b/>
                <w:bCs/>
                <w:u w:val="none"/>
              </w:rPr>
              <w:t>1#</w:t>
            </w:r>
            <w:r>
              <w:rPr>
                <w:b/>
                <w:bCs/>
                <w:u w:val="none"/>
              </w:rPr>
              <w:t>主变压器</w:t>
            </w:r>
          </w:p>
        </w:tc>
        <w:tc>
          <w:tcPr>
            <w:tcW w:w="0" w:type="auto"/>
            <w:vAlign w:val="center"/>
          </w:tcPr>
          <w:p w14:paraId="1E00A2A5">
            <w:pPr>
              <w:jc w:val="center"/>
              <w:rPr>
                <w:rFonts w:hint="default" w:eastAsia="宋体"/>
                <w:b/>
                <w:bCs/>
                <w:u w:val="none"/>
                <w:lang w:val="en-US" w:eastAsia="zh-CN"/>
              </w:rPr>
            </w:pPr>
            <w:r>
              <w:rPr>
                <w:rFonts w:hint="eastAsia"/>
                <w:b/>
                <w:bCs/>
                <w:u w:val="none"/>
                <w:lang w:val="en-US" w:eastAsia="zh-CN"/>
              </w:rPr>
              <w:t>2</w:t>
            </w:r>
            <w:r>
              <w:rPr>
                <w:rFonts w:hint="eastAsia"/>
                <w:b/>
                <w:bCs/>
                <w:u w:val="none"/>
              </w:rPr>
              <w:t>#</w:t>
            </w:r>
            <w:r>
              <w:rPr>
                <w:b/>
                <w:bCs/>
                <w:u w:val="none"/>
              </w:rPr>
              <w:t>主变</w:t>
            </w:r>
            <w:r>
              <w:rPr>
                <w:rFonts w:hint="eastAsia"/>
                <w:b/>
                <w:bCs/>
                <w:u w:val="none"/>
                <w:lang w:val="en-US" w:eastAsia="zh-CN"/>
              </w:rPr>
              <w:t>(新建)预留位置</w:t>
            </w:r>
          </w:p>
        </w:tc>
      </w:tr>
      <w:tr w14:paraId="3426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0D1BD31F">
            <w:pPr>
              <w:jc w:val="center"/>
              <w:rPr>
                <w:b/>
                <w:bCs/>
                <w:u w:val="none"/>
              </w:rPr>
            </w:pPr>
          </w:p>
        </w:tc>
        <w:tc>
          <w:tcPr>
            <w:tcW w:w="0" w:type="auto"/>
            <w:vAlign w:val="center"/>
          </w:tcPr>
          <w:p w14:paraId="24C60BE7">
            <w:pPr>
              <w:jc w:val="center"/>
              <w:rPr>
                <w:b/>
                <w:bCs/>
                <w:u w:val="none"/>
              </w:rPr>
            </w:pPr>
          </w:p>
        </w:tc>
      </w:tr>
      <w:tr w14:paraId="7D2B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486DA56">
            <w:pPr>
              <w:jc w:val="center"/>
              <w:rPr>
                <w:b/>
                <w:bCs/>
                <w:u w:val="none"/>
              </w:rPr>
            </w:pPr>
            <w:r>
              <w:rPr>
                <w:rFonts w:hint="eastAsia"/>
                <w:b/>
                <w:bCs/>
                <w:u w:val="none"/>
              </w:rPr>
              <w:t>事故油池</w:t>
            </w:r>
          </w:p>
        </w:tc>
        <w:tc>
          <w:tcPr>
            <w:tcW w:w="0" w:type="auto"/>
            <w:vAlign w:val="center"/>
          </w:tcPr>
          <w:p w14:paraId="1CF65F12">
            <w:pPr>
              <w:jc w:val="center"/>
              <w:rPr>
                <w:rFonts w:hint="default" w:eastAsia="宋体"/>
                <w:b/>
                <w:bCs/>
                <w:u w:val="none"/>
                <w:lang w:val="en-US" w:eastAsia="zh-CN"/>
              </w:rPr>
            </w:pPr>
            <w:r>
              <w:rPr>
                <w:rFonts w:hint="eastAsia"/>
                <w:b/>
                <w:bCs/>
                <w:u w:val="none"/>
                <w:lang w:val="en-US" w:eastAsia="zh-CN"/>
              </w:rPr>
              <w:t>110kV配电装置区</w:t>
            </w:r>
          </w:p>
        </w:tc>
      </w:tr>
      <w:tr w14:paraId="1330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6B2B5A35">
            <w:pPr>
              <w:jc w:val="center"/>
              <w:rPr>
                <w:b/>
                <w:bCs/>
                <w:u w:val="none"/>
              </w:rPr>
            </w:pPr>
          </w:p>
        </w:tc>
        <w:tc>
          <w:tcPr>
            <w:tcW w:w="0" w:type="auto"/>
            <w:vAlign w:val="center"/>
          </w:tcPr>
          <w:p w14:paraId="67EF3AAC">
            <w:pPr>
              <w:jc w:val="center"/>
              <w:rPr>
                <w:b/>
                <w:bCs/>
                <w:u w:val="none"/>
              </w:rPr>
            </w:pPr>
          </w:p>
        </w:tc>
      </w:tr>
      <w:tr w14:paraId="1073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A692F78">
            <w:pPr>
              <w:jc w:val="center"/>
              <w:rPr>
                <w:rFonts w:hint="eastAsia"/>
                <w:b/>
                <w:bCs/>
                <w:u w:val="none"/>
                <w:lang w:val="en-US" w:eastAsia="zh-CN"/>
              </w:rPr>
            </w:pPr>
            <w:r>
              <w:rPr>
                <w:rFonts w:hint="eastAsia"/>
                <w:b/>
                <w:bCs/>
                <w:u w:val="none"/>
                <w:lang w:val="en-US" w:eastAsia="zh-CN"/>
              </w:rPr>
              <w:t>主控楼</w:t>
            </w:r>
          </w:p>
        </w:tc>
        <w:tc>
          <w:tcPr>
            <w:tcW w:w="0" w:type="auto"/>
            <w:vAlign w:val="center"/>
          </w:tcPr>
          <w:p w14:paraId="62BD4E84">
            <w:pPr>
              <w:jc w:val="center"/>
              <w:rPr>
                <w:rFonts w:hint="eastAsia" w:eastAsia="宋体"/>
                <w:b/>
                <w:bCs/>
                <w:u w:val="none"/>
                <w:lang w:val="en-US" w:eastAsia="zh-CN"/>
              </w:rPr>
            </w:pPr>
            <w:r>
              <w:rPr>
                <w:rFonts w:hint="eastAsia"/>
                <w:b/>
                <w:bCs/>
                <w:u w:val="none"/>
                <w:lang w:val="en-US" w:eastAsia="zh-CN"/>
              </w:rPr>
              <w:t>化粪池</w:t>
            </w:r>
          </w:p>
        </w:tc>
      </w:tr>
      <w:tr w14:paraId="4AA0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B01A55A">
            <w:pPr>
              <w:jc w:val="center"/>
              <w:rPr>
                <w:u w:val="none"/>
              </w:rPr>
            </w:pPr>
          </w:p>
        </w:tc>
        <w:tc>
          <w:tcPr>
            <w:tcW w:w="0" w:type="auto"/>
            <w:vAlign w:val="center"/>
          </w:tcPr>
          <w:p w14:paraId="455B7254">
            <w:pPr>
              <w:jc w:val="center"/>
              <w:rPr>
                <w:u w:val="none"/>
              </w:rPr>
            </w:pPr>
          </w:p>
        </w:tc>
      </w:tr>
      <w:tr w14:paraId="79B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0" w:type="auto"/>
            <w:vAlign w:val="center"/>
          </w:tcPr>
          <w:p w14:paraId="1826F2B8">
            <w:pPr>
              <w:jc w:val="center"/>
              <w:rPr>
                <w:rFonts w:hint="default" w:eastAsia="宋体"/>
                <w:u w:val="none"/>
                <w:lang w:val="en-US" w:eastAsia="zh-CN"/>
              </w:rPr>
            </w:pPr>
            <w:r>
              <w:rPr>
                <w:rFonts w:hint="eastAsia"/>
                <w:b/>
                <w:bCs/>
                <w:u w:val="none"/>
                <w:lang w:val="en-US" w:eastAsia="zh-CN"/>
              </w:rPr>
              <w:t>220kV配电装置区</w:t>
            </w:r>
          </w:p>
        </w:tc>
        <w:tc>
          <w:tcPr>
            <w:tcW w:w="0" w:type="auto"/>
            <w:vAlign w:val="center"/>
          </w:tcPr>
          <w:p w14:paraId="55C5911D">
            <w:pPr>
              <w:jc w:val="center"/>
              <w:rPr>
                <w:rFonts w:hint="default" w:eastAsia="宋体"/>
                <w:u w:val="none"/>
                <w:lang w:val="en-US" w:eastAsia="zh-CN"/>
              </w:rPr>
            </w:pPr>
            <w:r>
              <w:rPr>
                <w:rFonts w:hint="eastAsia"/>
                <w:b/>
                <w:bCs/>
                <w:u w:val="none"/>
                <w:lang w:val="en-US" w:eastAsia="zh-CN"/>
              </w:rPr>
              <w:t>站内垃圾收集装置</w:t>
            </w:r>
          </w:p>
        </w:tc>
      </w:tr>
      <w:tr w14:paraId="4C03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514C8DD5">
            <w:pPr>
              <w:jc w:val="center"/>
              <w:rPr>
                <w:b/>
                <w:bCs/>
                <w:u w:val="none"/>
              </w:rPr>
            </w:pPr>
          </w:p>
        </w:tc>
        <w:tc>
          <w:tcPr>
            <w:tcW w:w="0" w:type="auto"/>
            <w:vAlign w:val="center"/>
          </w:tcPr>
          <w:p w14:paraId="7679DFB1">
            <w:pPr>
              <w:jc w:val="center"/>
              <w:rPr>
                <w:b/>
                <w:bCs/>
                <w:u w:val="none"/>
              </w:rPr>
            </w:pPr>
          </w:p>
        </w:tc>
      </w:tr>
      <w:tr w14:paraId="179E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0" w:type="auto"/>
            <w:vAlign w:val="center"/>
          </w:tcPr>
          <w:p w14:paraId="2FDB354F">
            <w:pPr>
              <w:jc w:val="center"/>
              <w:rPr>
                <w:rFonts w:hint="eastAsia" w:eastAsia="宋体"/>
                <w:b/>
                <w:bCs/>
                <w:u w:val="none"/>
                <w:lang w:val="en-US" w:eastAsia="zh-CN"/>
              </w:rPr>
            </w:pPr>
            <w:r>
              <w:rPr>
                <w:rFonts w:hint="eastAsia"/>
                <w:b/>
                <w:bCs/>
                <w:u w:val="none"/>
                <w:lang w:val="en-US" w:eastAsia="zh-CN"/>
              </w:rPr>
              <w:t>排水系统</w:t>
            </w:r>
          </w:p>
        </w:tc>
        <w:tc>
          <w:tcPr>
            <w:tcW w:w="0" w:type="auto"/>
            <w:vAlign w:val="center"/>
          </w:tcPr>
          <w:p w14:paraId="1575AC5C">
            <w:pPr>
              <w:jc w:val="center"/>
              <w:rPr>
                <w:rFonts w:hint="default" w:eastAsia="宋体"/>
                <w:b/>
                <w:bCs/>
                <w:u w:val="none"/>
                <w:lang w:val="en-US" w:eastAsia="zh-CN"/>
              </w:rPr>
            </w:pPr>
            <w:r>
              <w:rPr>
                <w:rFonts w:hint="eastAsia"/>
                <w:b/>
                <w:bCs/>
                <w:u w:val="none"/>
                <w:lang w:val="en-US" w:eastAsia="zh-CN"/>
              </w:rPr>
              <w:t>进站道路</w:t>
            </w:r>
          </w:p>
        </w:tc>
      </w:tr>
      <w:tr w14:paraId="4B2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206FE7A7">
            <w:pPr>
              <w:jc w:val="center"/>
              <w:rPr>
                <w:u w:val="none"/>
              </w:rPr>
            </w:pPr>
            <w:bookmarkStart w:id="352" w:name="_GoBack"/>
            <w:bookmarkEnd w:id="352"/>
          </w:p>
        </w:tc>
        <w:tc>
          <w:tcPr>
            <w:tcW w:w="0" w:type="auto"/>
            <w:vAlign w:val="center"/>
          </w:tcPr>
          <w:p w14:paraId="40B240F3">
            <w:pPr>
              <w:jc w:val="center"/>
              <w:rPr>
                <w:u w:val="none"/>
              </w:rPr>
            </w:pPr>
          </w:p>
        </w:tc>
      </w:tr>
    </w:tbl>
    <w:p w14:paraId="35E01E7E">
      <w:pPr>
        <w:pStyle w:val="13"/>
        <w:rPr>
          <w:sz w:val="24"/>
          <w:szCs w:val="24"/>
          <w:u w:val="none"/>
        </w:rPr>
      </w:pPr>
    </w:p>
    <w:p w14:paraId="02AB82CC">
      <w:pPr>
        <w:rPr>
          <w:u w:val="none"/>
        </w:rPr>
      </w:pPr>
    </w:p>
    <w:sectPr>
      <w:pgSz w:w="11906" w:h="16838"/>
      <w:pgMar w:top="851" w:right="1021" w:bottom="907" w:left="964" w:header="851" w:footer="107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IDFont+F3">
    <w:altName w:val="宋体"/>
    <w:panose1 w:val="00000000000000000000"/>
    <w:charset w:val="86"/>
    <w:family w:val="auto"/>
    <w:pitch w:val="default"/>
    <w:sig w:usb0="00000000" w:usb1="00000000" w:usb2="00000000" w:usb3="00000000" w:csb0="00040000" w:csb1="00000000"/>
  </w:font>
  <w:font w:name="CIDFont+F1">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64FD">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65F8">
    <w:pPr>
      <w:pStyle w:val="1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AFC7">
    <w:pPr>
      <w:pStyle w:val="1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4B408">
                          <w:pPr>
                            <w:pStyle w:val="13"/>
                            <w:rPr>
                              <w:rStyle w:val="23"/>
                              <w:rFonts w:hint="eastAsia" w:ascii="宋体" w:hAnsi="宋体" w:eastAsia="宋体"/>
                              <w:sz w:val="28"/>
                              <w:szCs w:val="28"/>
                              <w:lang w:eastAsia="zh-CN"/>
                            </w:rPr>
                          </w:pPr>
                          <w:r>
                            <w:rPr>
                              <w:rFonts w:ascii="宋体" w:hAnsi="宋体"/>
                              <w:sz w:val="21"/>
                              <w:szCs w:val="21"/>
                            </w:rPr>
                            <w:fldChar w:fldCharType="begin"/>
                          </w:r>
                          <w:r>
                            <w:rPr>
                              <w:rStyle w:val="23"/>
                              <w:rFonts w:ascii="宋体" w:hAnsi="宋体"/>
                              <w:sz w:val="21"/>
                              <w:szCs w:val="21"/>
                            </w:rPr>
                            <w:instrText xml:space="preserve">PAGE  </w:instrText>
                          </w:r>
                          <w:r>
                            <w:rPr>
                              <w:rFonts w:ascii="宋体" w:hAnsi="宋体"/>
                              <w:sz w:val="21"/>
                              <w:szCs w:val="21"/>
                            </w:rPr>
                            <w:fldChar w:fldCharType="separate"/>
                          </w:r>
                          <w:r>
                            <w:rPr>
                              <w:rStyle w:val="23"/>
                              <w:rFonts w:ascii="宋体" w:hAnsi="宋体"/>
                              <w:sz w:val="21"/>
                              <w:szCs w:val="21"/>
                            </w:rPr>
                            <w:t>9</w:t>
                          </w:r>
                          <w:r>
                            <w:rPr>
                              <w:rFonts w:ascii="宋体" w:hAnsi="宋体"/>
                              <w:sz w:val="21"/>
                              <w:szCs w:val="21"/>
                            </w:rPr>
                            <w:fldChar w:fldCharType="end"/>
                          </w:r>
                        </w:p>
                        <w:p w14:paraId="67FB89A8"/>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D64B408">
                    <w:pPr>
                      <w:pStyle w:val="13"/>
                      <w:rPr>
                        <w:rStyle w:val="23"/>
                        <w:rFonts w:hint="eastAsia" w:ascii="宋体" w:hAnsi="宋体" w:eastAsia="宋体"/>
                        <w:sz w:val="28"/>
                        <w:szCs w:val="28"/>
                        <w:lang w:eastAsia="zh-CN"/>
                      </w:rPr>
                    </w:pPr>
                    <w:r>
                      <w:rPr>
                        <w:rFonts w:ascii="宋体" w:hAnsi="宋体"/>
                        <w:sz w:val="21"/>
                        <w:szCs w:val="21"/>
                      </w:rPr>
                      <w:fldChar w:fldCharType="begin"/>
                    </w:r>
                    <w:r>
                      <w:rPr>
                        <w:rStyle w:val="23"/>
                        <w:rFonts w:ascii="宋体" w:hAnsi="宋体"/>
                        <w:sz w:val="21"/>
                        <w:szCs w:val="21"/>
                      </w:rPr>
                      <w:instrText xml:space="preserve">PAGE  </w:instrText>
                    </w:r>
                    <w:r>
                      <w:rPr>
                        <w:rFonts w:ascii="宋体" w:hAnsi="宋体"/>
                        <w:sz w:val="21"/>
                        <w:szCs w:val="21"/>
                      </w:rPr>
                      <w:fldChar w:fldCharType="separate"/>
                    </w:r>
                    <w:r>
                      <w:rPr>
                        <w:rStyle w:val="23"/>
                        <w:rFonts w:ascii="宋体" w:hAnsi="宋体"/>
                        <w:sz w:val="21"/>
                        <w:szCs w:val="21"/>
                      </w:rPr>
                      <w:t>9</w:t>
                    </w:r>
                    <w:r>
                      <w:rPr>
                        <w:rFonts w:ascii="宋体" w:hAnsi="宋体"/>
                        <w:sz w:val="21"/>
                        <w:szCs w:val="21"/>
                      </w:rPr>
                      <w:fldChar w:fldCharType="end"/>
                    </w:r>
                  </w:p>
                  <w:p w14:paraId="67FB89A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DF6CB">
    <w:pPr>
      <w:pStyle w:val="18"/>
      <w:ind w:firstLine="48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230FE">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5B230FE">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68C1">
    <w:pPr>
      <w:pStyle w:val="18"/>
      <w:ind w:firstLine="4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628A"/>
    <w:multiLevelType w:val="singleLevel"/>
    <w:tmpl w:val="082C628A"/>
    <w:lvl w:ilvl="0" w:tentative="0">
      <w:start w:val="1"/>
      <w:numFmt w:val="lowerLetter"/>
      <w:suff w:val="nothing"/>
      <w:lvlText w:val="%1）"/>
      <w:lvlJc w:val="left"/>
    </w:lvl>
  </w:abstractNum>
  <w:abstractNum w:abstractNumId="1">
    <w:nsid w:val="66CCE775"/>
    <w:multiLevelType w:val="singleLevel"/>
    <w:tmpl w:val="66CCE775"/>
    <w:lvl w:ilvl="0" w:tentative="0">
      <w:start w:val="1"/>
      <w:numFmt w:val="decimal"/>
      <w:suff w:val="nothing"/>
      <w:lvlText w:val="%1、"/>
      <w:lvlJc w:val="left"/>
    </w:lvl>
  </w:abstractNum>
  <w:abstractNum w:abstractNumId="2">
    <w:nsid w:val="7B496070"/>
    <w:multiLevelType w:val="multilevel"/>
    <w:tmpl w:val="7B49607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jE2NGY3OTE3YTkwMmI1YjY0ODFhNDliYzRmY2QifQ=="/>
  </w:docVars>
  <w:rsids>
    <w:rsidRoot w:val="00172A27"/>
    <w:rsid w:val="0005391A"/>
    <w:rsid w:val="001B14D6"/>
    <w:rsid w:val="001D0C57"/>
    <w:rsid w:val="001E1274"/>
    <w:rsid w:val="00255132"/>
    <w:rsid w:val="002849F9"/>
    <w:rsid w:val="00383007"/>
    <w:rsid w:val="007F49EE"/>
    <w:rsid w:val="008257AD"/>
    <w:rsid w:val="00AE4AAD"/>
    <w:rsid w:val="00F10BB9"/>
    <w:rsid w:val="02E35B87"/>
    <w:rsid w:val="03793857"/>
    <w:rsid w:val="044B6179"/>
    <w:rsid w:val="04C72766"/>
    <w:rsid w:val="0664493D"/>
    <w:rsid w:val="06C305DD"/>
    <w:rsid w:val="06D27AF8"/>
    <w:rsid w:val="06E2683B"/>
    <w:rsid w:val="08915811"/>
    <w:rsid w:val="089303A1"/>
    <w:rsid w:val="09124158"/>
    <w:rsid w:val="09E16C90"/>
    <w:rsid w:val="0A9635B7"/>
    <w:rsid w:val="0AD82593"/>
    <w:rsid w:val="0B173CC0"/>
    <w:rsid w:val="0B232DB1"/>
    <w:rsid w:val="0BF66CB4"/>
    <w:rsid w:val="0CE0000C"/>
    <w:rsid w:val="0D2C4ACB"/>
    <w:rsid w:val="0E9B44CE"/>
    <w:rsid w:val="12FF3927"/>
    <w:rsid w:val="15B84150"/>
    <w:rsid w:val="16615518"/>
    <w:rsid w:val="174A4CED"/>
    <w:rsid w:val="17607237"/>
    <w:rsid w:val="18E67433"/>
    <w:rsid w:val="19483E0C"/>
    <w:rsid w:val="1BA0122D"/>
    <w:rsid w:val="1BDC68CC"/>
    <w:rsid w:val="1CD97EFF"/>
    <w:rsid w:val="21A739DB"/>
    <w:rsid w:val="22BD5E9B"/>
    <w:rsid w:val="231804CA"/>
    <w:rsid w:val="23B82505"/>
    <w:rsid w:val="252514E7"/>
    <w:rsid w:val="260F580D"/>
    <w:rsid w:val="294F16D1"/>
    <w:rsid w:val="2B3467CC"/>
    <w:rsid w:val="2B835AF1"/>
    <w:rsid w:val="2B950F3D"/>
    <w:rsid w:val="2B9B7385"/>
    <w:rsid w:val="2C44019A"/>
    <w:rsid w:val="2C7E7C57"/>
    <w:rsid w:val="2D652BC5"/>
    <w:rsid w:val="2F1C15AE"/>
    <w:rsid w:val="31DD2FFC"/>
    <w:rsid w:val="35767893"/>
    <w:rsid w:val="376A52EE"/>
    <w:rsid w:val="38991D90"/>
    <w:rsid w:val="38EF68CD"/>
    <w:rsid w:val="3D1D6E07"/>
    <w:rsid w:val="3DCC7F33"/>
    <w:rsid w:val="3EBD1A6D"/>
    <w:rsid w:val="40A77BFA"/>
    <w:rsid w:val="41857AF3"/>
    <w:rsid w:val="43B816CC"/>
    <w:rsid w:val="44380293"/>
    <w:rsid w:val="46155B08"/>
    <w:rsid w:val="462C182F"/>
    <w:rsid w:val="46667983"/>
    <w:rsid w:val="48A96293"/>
    <w:rsid w:val="4944341E"/>
    <w:rsid w:val="4AE556E6"/>
    <w:rsid w:val="4B2F3AAB"/>
    <w:rsid w:val="4DA150FB"/>
    <w:rsid w:val="50031376"/>
    <w:rsid w:val="51F13BA6"/>
    <w:rsid w:val="525F5585"/>
    <w:rsid w:val="5392555C"/>
    <w:rsid w:val="548F60B0"/>
    <w:rsid w:val="54DD4FAE"/>
    <w:rsid w:val="55F65006"/>
    <w:rsid w:val="561A0AD4"/>
    <w:rsid w:val="564B56D3"/>
    <w:rsid w:val="56E962D8"/>
    <w:rsid w:val="5A076A8E"/>
    <w:rsid w:val="5F891ED9"/>
    <w:rsid w:val="5FDB7C35"/>
    <w:rsid w:val="5FFF2144"/>
    <w:rsid w:val="600B2BA8"/>
    <w:rsid w:val="620D0BA7"/>
    <w:rsid w:val="654277D0"/>
    <w:rsid w:val="682D5DAC"/>
    <w:rsid w:val="698168DD"/>
    <w:rsid w:val="69AF227C"/>
    <w:rsid w:val="6A3B6225"/>
    <w:rsid w:val="6B14348B"/>
    <w:rsid w:val="6D67318C"/>
    <w:rsid w:val="6E0C27C6"/>
    <w:rsid w:val="6E1C4834"/>
    <w:rsid w:val="6E786E94"/>
    <w:rsid w:val="6F7C6AEF"/>
    <w:rsid w:val="708638BA"/>
    <w:rsid w:val="71352C64"/>
    <w:rsid w:val="72095A10"/>
    <w:rsid w:val="72856038"/>
    <w:rsid w:val="728D6176"/>
    <w:rsid w:val="72B3327C"/>
    <w:rsid w:val="737D5AD6"/>
    <w:rsid w:val="760864DE"/>
    <w:rsid w:val="7700468A"/>
    <w:rsid w:val="776C3CE4"/>
    <w:rsid w:val="78175E36"/>
    <w:rsid w:val="784A170C"/>
    <w:rsid w:val="78A53680"/>
    <w:rsid w:val="7940246D"/>
    <w:rsid w:val="7A195E8A"/>
    <w:rsid w:val="7B0B3678"/>
    <w:rsid w:val="7B763185"/>
    <w:rsid w:val="7CDE72A4"/>
    <w:rsid w:val="7D507D29"/>
    <w:rsid w:val="7DC07A53"/>
    <w:rsid w:val="7DF74FBB"/>
    <w:rsid w:val="7F062FF6"/>
    <w:rsid w:val="7F14527D"/>
    <w:rsid w:val="7FBF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qFormat/>
    <w:uiPriority w:val="0"/>
    <w:pPr>
      <w:keepNext/>
      <w:keepLines/>
      <w:spacing w:before="160" w:after="160" w:line="240" w:lineRule="auto"/>
      <w:jc w:val="center"/>
      <w:outlineLvl w:val="0"/>
    </w:pPr>
    <w:rPr>
      <w:rFonts w:ascii="Times New Roman" w:hAnsi="Times New Roman" w:eastAsia="黑体"/>
      <w:b/>
      <w:kern w:val="44"/>
      <w:sz w:val="30"/>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semiHidden/>
    <w:unhideWhenUsed/>
    <w:qFormat/>
    <w:uiPriority w:val="0"/>
    <w:pPr>
      <w:keepNext/>
      <w:keepLines/>
      <w:spacing w:before="380" w:after="380" w:line="240" w:lineRule="auto"/>
      <w:jc w:val="left"/>
      <w:outlineLvl w:val="2"/>
    </w:pPr>
    <w:rPr>
      <w:rFonts w:cs="宋体"/>
      <w:b/>
      <w:bCs/>
      <w:szCs w:val="32"/>
    </w:rPr>
  </w:style>
  <w:style w:type="paragraph" w:styleId="5">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rPr>
      <w:rFonts w:ascii="等线 Light" w:hAnsi="等线 Light" w:eastAsia="黑体"/>
      <w:sz w:val="20"/>
      <w:szCs w:val="20"/>
    </w:rPr>
  </w:style>
  <w:style w:type="paragraph" w:styleId="8">
    <w:name w:val="annotation text"/>
    <w:basedOn w:val="1"/>
    <w:semiHidden/>
    <w:qFormat/>
    <w:uiPriority w:val="0"/>
    <w:pPr>
      <w:jc w:val="left"/>
    </w:pPr>
    <w:rPr>
      <w:kern w:val="0"/>
      <w:szCs w:val="20"/>
    </w:rPr>
  </w:style>
  <w:style w:type="paragraph" w:styleId="9">
    <w:name w:val="Body Text"/>
    <w:basedOn w:val="1"/>
    <w:qFormat/>
    <w:uiPriority w:val="0"/>
    <w:pPr>
      <w:widowControl/>
      <w:snapToGrid w:val="0"/>
      <w:spacing w:before="60" w:line="259" w:lineRule="auto"/>
      <w:ind w:right="113"/>
    </w:pPr>
    <w:rPr>
      <w:kern w:val="0"/>
      <w:sz w:val="18"/>
      <w:szCs w:val="18"/>
    </w:rPr>
  </w:style>
  <w:style w:type="paragraph" w:styleId="10">
    <w:name w:val="Plain Text"/>
    <w:basedOn w:val="1"/>
    <w:qFormat/>
    <w:uiPriority w:val="0"/>
    <w:rPr>
      <w:rFonts w:ascii="宋体" w:hAnsi="Courier New"/>
      <w:kern w:val="0"/>
      <w:sz w:val="20"/>
      <w:szCs w:val="21"/>
    </w:rPr>
  </w:style>
  <w:style w:type="paragraph" w:styleId="11">
    <w:name w:val="Body Text Indent 2"/>
    <w:basedOn w:val="1"/>
    <w:next w:val="1"/>
    <w:unhideWhenUsed/>
    <w:qFormat/>
    <w:uiPriority w:val="99"/>
    <w:pPr>
      <w:adjustRightInd w:val="0"/>
      <w:snapToGrid w:val="0"/>
      <w:spacing w:after="120" w:line="480" w:lineRule="auto"/>
      <w:ind w:left="420" w:leftChars="200" w:firstLine="200" w:firstLineChars="200"/>
    </w:pPr>
    <w:rPr>
      <w:rFonts w:ascii="Arial" w:hAnsi="Arial"/>
      <w:szCs w:val="20"/>
    </w:rPr>
  </w:style>
  <w:style w:type="paragraph" w:styleId="12">
    <w:name w:val="Balloon Text"/>
    <w:basedOn w:val="1"/>
    <w:link w:val="46"/>
    <w:qFormat/>
    <w:uiPriority w:val="0"/>
    <w:pPr>
      <w:spacing w:line="240" w:lineRule="auto"/>
    </w:pPr>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link w:val="4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99"/>
    <w:pPr>
      <w:widowControl/>
      <w:spacing w:beforeAutospacing="1" w:afterAutospacing="1"/>
      <w:jc w:val="left"/>
    </w:pPr>
    <w:rPr>
      <w:rFonts w:ascii="宋体" w:hAnsi="宋体"/>
      <w:kern w:val="0"/>
      <w:szCs w:val="20"/>
    </w:rPr>
  </w:style>
  <w:style w:type="paragraph" w:styleId="18">
    <w:name w:val="annotation subject"/>
    <w:basedOn w:val="8"/>
    <w:next w:val="8"/>
    <w:qFormat/>
    <w:uiPriority w:val="99"/>
    <w:rPr>
      <w:b/>
      <w:bCs/>
      <w:kern w:val="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000000"/>
      <w:u w:val="none"/>
    </w:rPr>
  </w:style>
  <w:style w:type="character" w:styleId="25">
    <w:name w:val="Hyperlink"/>
    <w:basedOn w:val="21"/>
    <w:qFormat/>
    <w:uiPriority w:val="0"/>
    <w:rPr>
      <w:color w:val="0563C1" w:themeColor="hyperlink"/>
      <w:u w:val="single"/>
      <w14:textFill>
        <w14:solidFill>
          <w14:schemeClr w14:val="hlink"/>
        </w14:solidFill>
      </w14:textFill>
    </w:rPr>
  </w:style>
  <w:style w:type="character" w:styleId="26">
    <w:name w:val="annotation reference"/>
    <w:basedOn w:val="21"/>
    <w:qFormat/>
    <w:uiPriority w:val="0"/>
    <w:rPr>
      <w:sz w:val="21"/>
      <w:szCs w:val="21"/>
    </w:rPr>
  </w:style>
  <w:style w:type="character" w:customStyle="1" w:styleId="27">
    <w:name w:val="标题 1 字符"/>
    <w:link w:val="2"/>
    <w:qFormat/>
    <w:uiPriority w:val="0"/>
    <w:rPr>
      <w:rFonts w:ascii="Times New Roman" w:hAnsi="Times New Roman" w:eastAsia="黑体"/>
      <w:b/>
      <w:kern w:val="44"/>
      <w:sz w:val="30"/>
    </w:rPr>
  </w:style>
  <w:style w:type="paragraph" w:customStyle="1" w:styleId="28">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9">
    <w:name w:val="1正文阳选清"/>
    <w:basedOn w:val="6"/>
    <w:qFormat/>
    <w:uiPriority w:val="0"/>
    <w:pPr>
      <w:adjustRightInd w:val="0"/>
      <w:ind w:firstLine="482" w:firstLineChars="0"/>
    </w:pPr>
    <w:rPr>
      <w:rFonts w:ascii="宋体"/>
      <w:spacing w:val="10"/>
      <w:kern w:val="0"/>
      <w:szCs w:val="20"/>
    </w:rPr>
  </w:style>
  <w:style w:type="paragraph" w:customStyle="1" w:styleId="30">
    <w:name w:val="表题头"/>
    <w:basedOn w:val="1"/>
    <w:qFormat/>
    <w:uiPriority w:val="0"/>
    <w:pPr>
      <w:spacing w:before="30" w:beforeLines="30" w:after="50" w:afterLines="50" w:line="240" w:lineRule="auto"/>
      <w:jc w:val="center"/>
    </w:pPr>
    <w:rPr>
      <w:b/>
      <w:sz w:val="21"/>
    </w:rPr>
  </w:style>
  <w:style w:type="paragraph" w:customStyle="1" w:styleId="31">
    <w:name w:val="表头"/>
    <w:basedOn w:val="1"/>
    <w:next w:val="1"/>
    <w:qFormat/>
    <w:uiPriority w:val="0"/>
    <w:pPr>
      <w:widowControl/>
      <w:adjustRightInd w:val="0"/>
      <w:snapToGrid w:val="0"/>
      <w:spacing w:line="240" w:lineRule="auto"/>
      <w:jc w:val="center"/>
    </w:pPr>
    <w:rPr>
      <w:b/>
      <w:bCs/>
      <w:color w:val="000000"/>
      <w:kern w:val="0"/>
      <w:sz w:val="21"/>
      <w:szCs w:val="21"/>
      <w:lang w:val="zh-CN"/>
    </w:rPr>
  </w:style>
  <w:style w:type="paragraph" w:customStyle="1" w:styleId="32">
    <w:name w:val="表文字"/>
    <w:qFormat/>
    <w:uiPriority w:val="0"/>
    <w:pPr>
      <w:widowControl w:val="0"/>
      <w:adjustRightInd w:val="0"/>
      <w:snapToGrid w:val="0"/>
      <w:jc w:val="center"/>
    </w:pPr>
    <w:rPr>
      <w:rFonts w:ascii="Times New Roman" w:hAnsi="Times New Roman" w:eastAsia="宋体" w:cs="Times New Roman"/>
      <w:kern w:val="2"/>
      <w:sz w:val="21"/>
      <w:szCs w:val="22"/>
      <w:lang w:val="en-US" w:eastAsia="en-US" w:bidi="ar-SA"/>
    </w:rPr>
  </w:style>
  <w:style w:type="paragraph" w:customStyle="1" w:styleId="33">
    <w:name w:val="HW正文两端对齐"/>
    <w:basedOn w:val="1"/>
    <w:qFormat/>
    <w:uiPriority w:val="0"/>
    <w:pPr>
      <w:ind w:firstLine="198" w:firstLineChars="200"/>
    </w:pPr>
    <w:rPr>
      <w:rFonts w:ascii="宋体" w:hAnsi="宋体"/>
      <w:szCs w:val="22"/>
    </w:rPr>
  </w:style>
  <w:style w:type="paragraph" w:customStyle="1" w:styleId="34">
    <w:name w:val="表文"/>
    <w:basedOn w:val="1"/>
    <w:qFormat/>
    <w:uiPriority w:val="0"/>
    <w:pPr>
      <w:overflowPunct w:val="0"/>
      <w:adjustRightInd w:val="0"/>
      <w:snapToGrid w:val="0"/>
      <w:jc w:val="center"/>
      <w:textAlignment w:val="baseline"/>
    </w:pPr>
    <w:rPr>
      <w:rFonts w:ascii="Arial" w:hAnsi="Arial"/>
      <w:kern w:val="0"/>
      <w:sz w:val="20"/>
      <w:szCs w:val="20"/>
    </w:rPr>
  </w:style>
  <w:style w:type="paragraph" w:customStyle="1" w:styleId="35">
    <w:name w:val="样式 正文"/>
    <w:basedOn w:val="1"/>
    <w:qFormat/>
    <w:uiPriority w:val="0"/>
    <w:pPr>
      <w:adjustRightInd w:val="0"/>
      <w:snapToGrid w:val="0"/>
      <w:ind w:firstLine="200" w:firstLineChars="200"/>
    </w:pPr>
    <w:rPr>
      <w:rFonts w:cs="宋体"/>
      <w:snapToGrid w:val="0"/>
      <w:color w:val="000000"/>
      <w:kern w:val="16"/>
      <w:szCs w:val="28"/>
    </w:rPr>
  </w:style>
  <w:style w:type="character" w:customStyle="1" w:styleId="36">
    <w:name w:val="样式 样式 正文 + 仿宋_GB2312 自动设置1 Char"/>
    <w:link w:val="37"/>
    <w:qFormat/>
    <w:uiPriority w:val="0"/>
    <w:rPr>
      <w:rFonts w:ascii="仿宋_GB2312" w:hAnsi="仿宋_GB2312"/>
    </w:rPr>
  </w:style>
  <w:style w:type="paragraph" w:customStyle="1" w:styleId="37">
    <w:name w:val="样式 样式 正文 + 仿宋_GB2312 自动设置1"/>
    <w:basedOn w:val="35"/>
    <w:link w:val="36"/>
    <w:qFormat/>
    <w:uiPriority w:val="0"/>
    <w:rPr>
      <w:rFonts w:ascii="仿宋_GB2312" w:hAnsi="仿宋_GB2312"/>
    </w:rPr>
  </w:style>
  <w:style w:type="character" w:customStyle="1" w:styleId="38">
    <w:name w:val="样式 样式 正文 + 仿宋_GB2312 自动设置1 Char Char"/>
    <w:basedOn w:val="39"/>
    <w:qFormat/>
    <w:uiPriority w:val="0"/>
    <w:rPr>
      <w:rFonts w:ascii="仿宋_GB2312" w:hAnsi="仿宋_GB2312" w:eastAsia="宋体" w:cs="宋体"/>
      <w:snapToGrid/>
      <w:color w:val="000000"/>
      <w:kern w:val="16"/>
      <w:sz w:val="24"/>
      <w:szCs w:val="28"/>
      <w:lang w:val="en-US" w:eastAsia="zh-CN" w:bidi="ar-SA"/>
    </w:rPr>
  </w:style>
  <w:style w:type="character" w:customStyle="1" w:styleId="39">
    <w:name w:val="样式 正文 Char Char"/>
    <w:basedOn w:val="21"/>
    <w:qFormat/>
    <w:uiPriority w:val="0"/>
    <w:rPr>
      <w:rFonts w:eastAsia="宋体" w:cs="宋体"/>
      <w:snapToGrid w:val="0"/>
      <w:color w:val="000000"/>
      <w:kern w:val="16"/>
      <w:sz w:val="24"/>
      <w:szCs w:val="28"/>
      <w:lang w:val="en-US" w:eastAsia="zh-CN" w:bidi="ar-SA"/>
    </w:rPr>
  </w:style>
  <w:style w:type="character" w:customStyle="1" w:styleId="40">
    <w:name w:val="页眉 字符"/>
    <w:basedOn w:val="21"/>
    <w:link w:val="14"/>
    <w:qFormat/>
    <w:uiPriority w:val="0"/>
    <w:rPr>
      <w:kern w:val="2"/>
      <w:sz w:val="18"/>
      <w:szCs w:val="18"/>
    </w:rPr>
  </w:style>
  <w:style w:type="paragraph" w:customStyle="1" w:styleId="41">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42">
    <w:name w:val="Unresolved Mention"/>
    <w:basedOn w:val="21"/>
    <w:semiHidden/>
    <w:unhideWhenUsed/>
    <w:qFormat/>
    <w:uiPriority w:val="99"/>
    <w:rPr>
      <w:color w:val="605E5C"/>
      <w:shd w:val="clear" w:color="auto" w:fill="E1DFDD"/>
    </w:rPr>
  </w:style>
  <w:style w:type="paragraph" w:customStyle="1" w:styleId="43">
    <w:name w:val="列出段落1"/>
    <w:basedOn w:val="1"/>
    <w:qFormat/>
    <w:uiPriority w:val="34"/>
    <w:pPr>
      <w:adjustRightInd w:val="0"/>
      <w:snapToGrid w:val="0"/>
      <w:ind w:firstLine="420" w:firstLineChars="200"/>
    </w:pPr>
    <w:rPr>
      <w:rFonts w:ascii="Arial" w:hAnsi="Arial"/>
      <w:szCs w:val="20"/>
    </w:rPr>
  </w:style>
  <w:style w:type="character" w:customStyle="1" w:styleId="44">
    <w:name w:val="curr"/>
    <w:basedOn w:val="21"/>
    <w:qFormat/>
    <w:uiPriority w:val="0"/>
    <w:rPr>
      <w:shd w:val="clear" w:color="auto" w:fill="1A8EE8"/>
    </w:rPr>
  </w:style>
  <w:style w:type="character" w:customStyle="1" w:styleId="45">
    <w:name w:val="hover11"/>
    <w:basedOn w:val="21"/>
    <w:qFormat/>
    <w:uiPriority w:val="0"/>
    <w:rPr>
      <w:shd w:val="clear" w:color="auto" w:fill="1A8EE8"/>
    </w:rPr>
  </w:style>
  <w:style w:type="character" w:customStyle="1" w:styleId="46">
    <w:name w:val="批注框文本 字符"/>
    <w:basedOn w:val="21"/>
    <w:link w:val="12"/>
    <w:qFormat/>
    <w:uiPriority w:val="0"/>
    <w:rPr>
      <w:kern w:val="2"/>
      <w:sz w:val="18"/>
      <w:szCs w:val="18"/>
    </w:rPr>
  </w:style>
  <w:style w:type="paragraph" w:customStyle="1" w:styleId="47">
    <w:name w:val="表格内容"/>
    <w:basedOn w:val="1"/>
    <w:qFormat/>
    <w:uiPriority w:val="0"/>
    <w:pPr>
      <w:adjustRightInd w:val="0"/>
      <w:snapToGrid w:val="0"/>
    </w:pPr>
    <w:rPr>
      <w:rFonts w:ascii="Times New Roman" w:hAnsi="Times New Roman" w:eastAsia="宋体" w:cs="Times New Roman"/>
      <w:szCs w:val="21"/>
    </w:rPr>
  </w:style>
  <w:style w:type="paragraph" w:customStyle="1" w:styleId="48">
    <w:name w:val="Table Paragraph"/>
    <w:basedOn w:val="1"/>
    <w:qFormat/>
    <w:uiPriority w:val="0"/>
    <w:pPr>
      <w:spacing w:line="345" w:lineRule="exact"/>
      <w:ind w:left="200"/>
    </w:pPr>
    <w:rPr>
      <w:rFonts w:ascii="黑体" w:hAnsi="黑体" w:eastAsia="黑体" w:cs="黑体"/>
      <w:lang w:val="zh-CN" w:bidi="zh-CN"/>
    </w:rPr>
  </w:style>
  <w:style w:type="paragraph" w:customStyle="1" w:styleId="49">
    <w:name w:val="表格"/>
    <w:basedOn w:val="50"/>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50">
    <w:name w:val="正文2"/>
    <w:basedOn w:val="1"/>
    <w:qFormat/>
    <w:uiPriority w:val="0"/>
    <w:pPr>
      <w:spacing w:line="400" w:lineRule="exact"/>
    </w:pPr>
    <w:rPr>
      <w:sz w:val="28"/>
    </w:rPr>
  </w:style>
  <w:style w:type="paragraph" w:customStyle="1" w:styleId="51">
    <w:name w:val="表格文字"/>
    <w:basedOn w:val="1"/>
    <w:qFormat/>
    <w:uiPriority w:val="0"/>
    <w:pPr>
      <w:jc w:val="center"/>
    </w:pPr>
    <w:rPr>
      <w:rFonts w:ascii="Times New Roman" w:hAnsi="Times New Roman" w:cs="Times New Roman"/>
      <w:sz w:val="24"/>
      <w:szCs w:val="24"/>
    </w:rPr>
  </w:style>
  <w:style w:type="paragraph" w:customStyle="1" w:styleId="52">
    <w:name w:val="样式8"/>
    <w:basedOn w:val="1"/>
    <w:qFormat/>
    <w:uiPriority w:val="0"/>
    <w:pPr>
      <w:widowControl/>
      <w:adjustRightInd/>
      <w:spacing w:line="320" w:lineRule="atLeast"/>
      <w:ind w:firstLine="0"/>
      <w:jc w:val="center"/>
      <w:textAlignment w:val="auto"/>
    </w:pPr>
    <w:rPr>
      <w:rFonts w:cs="Arial"/>
      <w:color w:val="000000"/>
      <w:sz w:val="21"/>
      <w:szCs w:val="21"/>
    </w:rPr>
  </w:style>
  <w:style w:type="paragraph" w:customStyle="1" w:styleId="53">
    <w:name w:val="Chy表内"/>
    <w:basedOn w:val="54"/>
    <w:qFormat/>
    <w:uiPriority w:val="0"/>
    <w:pPr>
      <w:adjustRightInd/>
      <w:spacing w:line="240" w:lineRule="auto"/>
      <w:ind w:firstLine="0" w:firstLineChars="0"/>
      <w:jc w:val="center"/>
    </w:pPr>
    <w:rPr>
      <w:rFonts w:cs="宋体"/>
      <w:sz w:val="21"/>
      <w:szCs w:val="21"/>
    </w:rPr>
  </w:style>
  <w:style w:type="paragraph" w:customStyle="1" w:styleId="54">
    <w:name w:val="样式 首行缩进:  2 字符2"/>
    <w:basedOn w:val="1"/>
    <w:qFormat/>
    <w:uiPriority w:val="0"/>
    <w:pPr>
      <w:ind w:firstLine="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11077</Words>
  <Characters>11894</Characters>
  <Lines>179</Lines>
  <Paragraphs>50</Paragraphs>
  <TotalTime>1</TotalTime>
  <ScaleCrop>false</ScaleCrop>
  <LinksUpToDate>false</LinksUpToDate>
  <CharactersWithSpaces>11929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2022-03-24T14:34:00Z</dcterms:created>
  <dc:creator>Uranus</dc:creator>
  <cp:lastModifiedBy>自省 克己 慎独 宽人</cp:lastModifiedBy>
  <dcterms:modified xsi:type="dcterms:W3CDTF">2025-06-30T03:13:07Z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90259C04BFEF45B7AD5A9F6F3F77BF33_13</vt:lpwstr>
  </property>
  <property fmtid="{D5CDD505-2E9C-101B-9397-08002B2CF9AE}" pid="4" name="KSOTemplateDocerSaveRecord">
    <vt:lpwstr>eyJoZGlkIjoiN2Q2Yjc3MmY3MzEwYjI2MGNmMGFhOGEzY2IxY2U5NTYiLCJ1c2VySWQiOiIyODg4MDQ1MDMifQ==</vt:lpwstr>
  </property>
</Properties>
</file>