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4452">
      <w:pPr>
        <w:pStyle w:val="6"/>
        <w:widowControl w:val="0"/>
        <w:spacing w:after="120"/>
        <w:jc w:val="distribute"/>
        <w:rPr>
          <w:rFonts w:hint="eastAsia" w:ascii="仿宋_GB2312" w:eastAsia="仿宋_GB2312" w:cs="仿宋_GB2312"/>
          <w:b w:val="0"/>
          <w:bCs/>
          <w:color w:val="FF0000"/>
          <w:sz w:val="60"/>
          <w:szCs w:val="60"/>
        </w:rPr>
      </w:pPr>
      <w:r>
        <w:rPr>
          <w:rFonts w:hint="eastAsia" w:ascii="方正小标宋简体" w:hAnsi="方正小标宋简体" w:eastAsia="方正小标宋简体" w:cs="方正小标宋简体"/>
          <w:b w:val="0"/>
          <w:bCs/>
          <w:color w:val="FF0000"/>
          <w:spacing w:val="-8"/>
          <w:kern w:val="2"/>
          <w:sz w:val="60"/>
          <w:szCs w:val="60"/>
        </w:rPr>
        <w:t>柳州市行政审批局文件</w:t>
      </w:r>
    </w:p>
    <w:p w14:paraId="31F340D1">
      <w:pPr>
        <w:pStyle w:val="6"/>
        <w:widowControl w:val="0"/>
        <w:spacing w:after="120" w:line="240" w:lineRule="exact"/>
        <w:jc w:val="both"/>
        <w:rPr>
          <w:rFonts w:hint="eastAsia" w:ascii="仿宋_GB2312" w:eastAsia="仿宋_GB2312" w:cs="仿宋_GB2312"/>
          <w:b/>
          <w:color w:val="FF0000"/>
          <w:sz w:val="32"/>
          <w:szCs w:val="24"/>
        </w:rPr>
      </w:pPr>
    </w:p>
    <w:p w14:paraId="7B4848E4">
      <w:pPr>
        <w:pStyle w:val="6"/>
        <w:widowControl w:val="0"/>
        <w:spacing w:after="120" w:line="240" w:lineRule="exact"/>
        <w:jc w:val="both"/>
        <w:rPr>
          <w:rFonts w:hint="eastAsia" w:ascii="仿宋_GB2312" w:eastAsia="仿宋_GB2312" w:cs="仿宋_GB2312"/>
          <w:b/>
          <w:color w:val="FF0000"/>
          <w:sz w:val="32"/>
          <w:szCs w:val="24"/>
        </w:rPr>
      </w:pPr>
    </w:p>
    <w:p w14:paraId="2408E33F">
      <w:pPr>
        <w:pStyle w:val="6"/>
        <w:widowControl w:val="0"/>
        <w:spacing w:after="120" w:line="240" w:lineRule="exact"/>
        <w:jc w:val="both"/>
        <w:rPr>
          <w:rFonts w:hint="eastAsia" w:ascii="仿宋_GB2312" w:eastAsia="仿宋_GB2312" w:cs="仿宋_GB2312"/>
          <w:b/>
          <w:color w:val="FF0000"/>
          <w:sz w:val="32"/>
          <w:szCs w:val="24"/>
        </w:rPr>
      </w:pPr>
    </w:p>
    <w:p w14:paraId="15D86E86">
      <w:pPr>
        <w:pStyle w:val="6"/>
        <w:widowControl w:val="0"/>
        <w:spacing w:after="120" w:line="240" w:lineRule="exact"/>
        <w:jc w:val="both"/>
        <w:rPr>
          <w:rFonts w:hint="eastAsia" w:ascii="仿宋_GB2312" w:eastAsia="仿宋_GB2312" w:cs="仿宋_GB2312"/>
          <w:b/>
          <w:color w:val="FF0000"/>
          <w:sz w:val="32"/>
          <w:szCs w:val="24"/>
        </w:rPr>
      </w:pPr>
    </w:p>
    <w:p w14:paraId="35E0A3E1">
      <w:pPr>
        <w:pStyle w:val="6"/>
        <w:widowControl w:val="0"/>
        <w:spacing w:after="120" w:line="460" w:lineRule="exact"/>
        <w:jc w:val="center"/>
        <w:rPr>
          <w:rFonts w:hint="eastAsia" w:ascii="仿宋_GB2312" w:eastAsia="仿宋_GB2312" w:cs="仿宋_GB2312"/>
          <w:b/>
          <w:sz w:val="32"/>
          <w:szCs w:val="24"/>
        </w:rPr>
      </w:pPr>
      <w:r>
        <w:rPr>
          <w:rFonts w:hint="eastAsia" w:ascii="仿宋_GB2312" w:eastAsia="仿宋_GB2312"/>
          <w:color w:val="auto"/>
          <w:sz w:val="32"/>
          <w:szCs w:val="32"/>
        </w:rPr>
        <w:t>柳审批</w:t>
      </w:r>
      <w:r>
        <w:rPr>
          <w:rFonts w:ascii="Times New Roman" w:hAnsi="Times New Roman"/>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357505</wp:posOffset>
                </wp:positionV>
                <wp:extent cx="5886450" cy="14605"/>
                <wp:effectExtent l="0" t="9525" r="0" b="13970"/>
                <wp:wrapNone/>
                <wp:docPr id="1" name="直线 2"/>
                <wp:cNvGraphicFramePr/>
                <a:graphic xmlns:a="http://schemas.openxmlformats.org/drawingml/2006/main">
                  <a:graphicData uri="http://schemas.microsoft.com/office/word/2010/wordprocessingShape">
                    <wps:wsp>
                      <wps:cNvCnPr/>
                      <wps:spPr>
                        <a:xfrm>
                          <a:off x="0" y="0"/>
                          <a:ext cx="5886450" cy="146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5pt;margin-top:28.15pt;height:1.15pt;width:463.5pt;z-index:251659264;mso-width-relative:page;mso-height-relative:page;" filled="f" stroked="t" coordsize="21600,21600" o:gfxdata="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avKE&#10;1QAAAAcBAAAPAAAAAAAAAAEAIAAAACIAAABkcnMvZG93bnJldi54bWxQSwECFAAUAAAACACHTuJA&#10;2ezcAusBAADgAwAADgAAAAAAAAABACAAAAAkAQAAZHJzL2Uyb0RvYy54bWxQSwUGAAAAAAYABgBZ&#10;AQAAgQUAAAAA&#10;">
                <v:fill on="f" focussize="0,0"/>
                <v:stroke weight="1.5pt" color="#FF0000" joinstyle="round"/>
                <v:imagedata o:title=""/>
                <o:lock v:ext="edit" aspectratio="f"/>
              </v:line>
            </w:pict>
          </mc:Fallback>
        </mc:AlternateContent>
      </w:r>
      <w:r>
        <w:rPr>
          <w:rFonts w:hint="eastAsia" w:ascii="仿宋_GB2312" w:eastAsia="仿宋_GB2312"/>
          <w:color w:val="auto"/>
          <w:sz w:val="32"/>
          <w:szCs w:val="32"/>
          <w:lang w:eastAsia="zh-CN"/>
        </w:rPr>
        <w:t>（北）环审字</w:t>
      </w:r>
      <w:r>
        <w:rPr>
          <w:rFonts w:hint="eastAsia" w:ascii="仿宋_GB2312" w:hAnsi="Times New Roman" w:eastAsia="仿宋_GB2312" w:cs="仿宋_GB2312"/>
          <w:spacing w:val="16"/>
          <w:kern w:val="2"/>
          <w:sz w:val="32"/>
          <w:szCs w:val="32"/>
        </w:rPr>
        <w:t>〔20</w:t>
      </w:r>
      <w:r>
        <w:rPr>
          <w:rFonts w:hint="eastAsia" w:ascii="仿宋_GB2312" w:hAnsi="Times New Roman" w:eastAsia="仿宋_GB2312" w:cs="仿宋_GB2312"/>
          <w:spacing w:val="16"/>
          <w:kern w:val="2"/>
          <w:sz w:val="32"/>
          <w:szCs w:val="32"/>
          <w:lang w:val="en-US" w:eastAsia="zh-CN"/>
        </w:rPr>
        <w:t>26</w:t>
      </w:r>
      <w:r>
        <w:rPr>
          <w:rFonts w:hint="eastAsia" w:ascii="仿宋_GB2312" w:hAnsi="Times New Roman" w:eastAsia="仿宋_GB2312" w:cs="仿宋_GB2312"/>
          <w:spacing w:val="16"/>
          <w:kern w:val="2"/>
          <w:sz w:val="32"/>
          <w:szCs w:val="32"/>
        </w:rPr>
        <w:t>〕</w:t>
      </w:r>
      <w:r>
        <w:rPr>
          <w:rFonts w:hint="eastAsia" w:ascii="仿宋_GB2312" w:eastAsia="仿宋_GB2312" w:cs="仿宋_GB2312"/>
          <w:spacing w:val="16"/>
          <w:kern w:val="2"/>
          <w:sz w:val="32"/>
          <w:szCs w:val="32"/>
          <w:lang w:val="en-US" w:eastAsia="zh-CN"/>
        </w:rPr>
        <w:t>2</w:t>
      </w:r>
      <w:r>
        <w:rPr>
          <w:rFonts w:hint="eastAsia" w:ascii="仿宋_GB2312" w:hAnsi="Times New Roman" w:eastAsia="仿宋_GB2312" w:cs="仿宋_GB2312"/>
          <w:spacing w:val="16"/>
          <w:kern w:val="2"/>
          <w:sz w:val="32"/>
          <w:szCs w:val="32"/>
        </w:rPr>
        <w:t>号</w:t>
      </w:r>
    </w:p>
    <w:p w14:paraId="688A2E68">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bCs/>
          <w:sz w:val="44"/>
          <w:szCs w:val="44"/>
        </w:rPr>
      </w:pPr>
    </w:p>
    <w:p w14:paraId="00A44C3A">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ascii="宋体" w:hAnsi="宋体"/>
          <w:b/>
          <w:sz w:val="44"/>
          <w:szCs w:val="44"/>
        </w:rPr>
      </w:pPr>
      <w:r>
        <w:rPr>
          <w:rFonts w:hint="eastAsia" w:ascii="方正小标宋简体" w:hAnsi="方正小标宋简体" w:eastAsia="方正小标宋简体" w:cs="方正小标宋简体"/>
          <w:bCs/>
          <w:sz w:val="44"/>
          <w:szCs w:val="44"/>
          <w:lang w:eastAsia="zh-CN"/>
        </w:rPr>
        <w:t>关于柳州塑友科技有限公司新能源汽车零部件及高分子新材料生产项目环境影响报告表的批复</w:t>
      </w:r>
    </w:p>
    <w:p w14:paraId="2D49FD14">
      <w:pPr>
        <w:keepNext w:val="0"/>
        <w:keepLines w:val="0"/>
        <w:pageBreakBefore w:val="0"/>
        <w:kinsoku/>
        <w:wordWrap/>
        <w:overflowPunct/>
        <w:topLinePunct w:val="0"/>
        <w:autoSpaceDE/>
        <w:autoSpaceDN/>
        <w:bidi w:val="0"/>
        <w:spacing w:after="0" w:line="560" w:lineRule="exact"/>
        <w:ind w:left="0" w:leftChars="0" w:right="0" w:rightChars="0"/>
        <w:textAlignment w:val="auto"/>
        <w:rPr>
          <w:rFonts w:ascii="仿宋" w:hAnsi="仿宋" w:eastAsia="仿宋"/>
          <w:sz w:val="32"/>
          <w:szCs w:val="32"/>
        </w:rPr>
      </w:pPr>
    </w:p>
    <w:p w14:paraId="25EF1F08">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柳州塑友科技有限公司：</w:t>
      </w:r>
    </w:p>
    <w:p w14:paraId="256CA1E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你公司报来《新能源汽车零部件及高分子新材料生产项目环境影响报告表》收悉。经研究，现对报告表批复如下：</w:t>
      </w:r>
    </w:p>
    <w:p w14:paraId="2A049DF0">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项目位于柳州市柳北区沙塘镇杨柳路9号。</w:t>
      </w:r>
      <w:r>
        <w:rPr>
          <w:rFonts w:hint="eastAsia" w:ascii="仿宋_GB2312" w:hAnsi="仿宋_GB2312" w:eastAsia="仿宋_GB2312" w:cs="仿宋_GB2312"/>
          <w:color w:val="auto"/>
          <w:sz w:val="32"/>
          <w:szCs w:val="32"/>
          <w:lang w:eastAsia="zh-CN"/>
        </w:rPr>
        <w:t>项目为新建项目，</w:t>
      </w:r>
      <w:r>
        <w:rPr>
          <w:rFonts w:hint="eastAsia" w:ascii="仿宋_GB2312" w:hAnsi="仿宋_GB2312" w:eastAsia="仿宋_GB2312" w:cs="仿宋_GB2312"/>
          <w:color w:val="auto"/>
          <w:sz w:val="32"/>
          <w:szCs w:val="32"/>
          <w:lang w:val="en-US" w:eastAsia="zh-CN"/>
        </w:rPr>
        <w:t>主要建设内容为：租赁已建成的办公室、厂房及其周边空地，厂房内建设汽车专用改性塑料颗粒生产线，配套建设产品存放区和环保工程。项目拟购安装螺杆挤出机、切粒机、振动筛、水槽、破碎机等生产设备，以聚丙烯、聚乙烯、碳酸钙等为原辅料，通过投料、加热挤出、注塑、冷却切粒、吸干筛选、样品检测等生产工艺，建成达产后年产汽车专用改性塑料颗粒15000吨。项目总投资415万元，其中环保投资37.5万元。</w:t>
      </w:r>
    </w:p>
    <w:p w14:paraId="0939BEB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已取得广西壮族自治区投资项目备案证明（项目代码：2512-450212-04-01-288035），从环境影响角度考虑，同意你公司按照报告表所列的建设项目的地点、性质、规模、采取的环境保护对策措施及下述要求进行项目建设。</w:t>
      </w:r>
    </w:p>
    <w:p w14:paraId="042451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二、项目须落实报告表提出的各项环保要求，重点抓好以下环保工作：</w:t>
      </w:r>
    </w:p>
    <w:p w14:paraId="77ABB7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（一）合理布局各种噪声产生源，并对高噪声设备采取有效地减振、隔声和降噪措施，确保厂界噪声达到《工业企业厂界环境噪声排放标准》（GB12348-2008）3类标准要求。</w:t>
      </w:r>
    </w:p>
    <w:p w14:paraId="1B21025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二）项目生产废水循环使用不外排。生活污水经化粪池处理后排入市政污水管网最终进入沙塘工业园污水处理厂进一步处理，须确保各污染物排放浓度满足《污水综合排放标准》（GB8978-1996）三级标准。按照《环境保护图形标志—排污口（源）》和《排污口规范化整治要求（试行）》有关规定建设规范化的废水排放口及采样口。</w:t>
      </w:r>
    </w:p>
    <w:p w14:paraId="3286DF5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（三）严格落实大气污染防治措施，</w:t>
      </w:r>
      <w:r>
        <w:rPr>
          <w:rFonts w:hint="eastAsia" w:ascii="仿宋_GB2312" w:hAnsi="仿宋_GB2312" w:eastAsia="仿宋_GB2312" w:cs="仿宋_GB2312"/>
          <w:color w:val="auto"/>
          <w:sz w:val="32"/>
          <w:szCs w:val="32"/>
          <w:lang w:val="en-US" w:eastAsia="zh-CN"/>
        </w:rPr>
        <w:t>废气污染物排放须符合国家及地方污染物排放标准，确保合规排放。项目加热挤出废气集气罩收集后通过二级活性炭吸附装置处理后由15m高排气筒（DA001）排放，未经收集的废气呈无组织排放，须确保非甲烷总烃达到《合成树脂工业污染物排放标准》(GB31572-2015)中的排放限值。项目投料混合废气通过集气罩收集后经过旋风除尘器+水喷淋塔处理由15m高排气筒（DA002）排放，未经收集的废气呈无组织排放，须确保颗粒物达到《合成树脂工业污染物排放标准》(GB31572-2015)中的排放限值。</w:t>
      </w:r>
      <w:r>
        <w:rPr>
          <w:rFonts w:hint="default" w:ascii="Times New Roman" w:hAnsi="Times New Roman" w:eastAsia="仿宋" w:cs="Times New Roman"/>
          <w:color w:val="000000"/>
          <w:sz w:val="32"/>
          <w:szCs w:val="32"/>
          <w:lang w:val="en-US" w:eastAsia="zh-CN"/>
        </w:rPr>
        <w:t>按照《环境保护图形标志—排污口（源）》和《排污口规范化整治</w:t>
      </w:r>
      <w:r>
        <w:rPr>
          <w:rFonts w:hint="default" w:ascii="仿宋_GB2312" w:hAnsi="仿宋_GB2312" w:eastAsia="仿宋_GB2312" w:cs="仿宋_GB2312"/>
          <w:color w:val="auto"/>
          <w:sz w:val="32"/>
          <w:szCs w:val="32"/>
          <w:lang w:val="en-US" w:eastAsia="zh-CN"/>
        </w:rPr>
        <w:t>要求（试行）》有关规定建设规范化的废气排放口及采样口。</w:t>
      </w:r>
    </w:p>
    <w:p w14:paraId="07E762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破碎工序在破碎间封闭进行，破碎废气无组织排放，须确保颗粒物达到《合成树脂工业污染物排放标准》(GB31572-2015)中的排放限值。加热挤出工序产生的臭气和有机废气通过集气罩收集，一同进入二级活性炭吸附装置处理后引至高空排放，执行《恶臭污染物排放标准》（GB14554-93）中的标准限值。厂区内无组织排放的挥发性有机物执行《挥发性有机物无组织排放控制标准》（GB37822-2019）中表A.1中无组织排放限值标准。</w:t>
      </w:r>
    </w:p>
    <w:p w14:paraId="2BCB68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（四）做好一般固体废物的综合利用和妥善处置工作。须按《一般工业固体废物贮存和填埋污染控制标准》（GB18599-2020）要求设置相关污染防治设施。</w:t>
      </w:r>
    </w:p>
    <w:p w14:paraId="3595C24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（五）须按《危险废物贮存污染控制标准》（GB18597-2023）要求建设</w:t>
      </w:r>
      <w:r>
        <w:rPr>
          <w:rFonts w:hint="default" w:ascii="仿宋_GB2312" w:hAnsi="仿宋_GB2312" w:eastAsia="仿宋_GB2312" w:cs="仿宋_GB2312"/>
          <w:color w:val="auto"/>
          <w:sz w:val="32"/>
          <w:szCs w:val="32"/>
          <w:lang w:val="en-US" w:eastAsia="zh-CN"/>
        </w:rPr>
        <w:t>废活性炭</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含油抹布及手套</w:t>
      </w:r>
      <w:r>
        <w:rPr>
          <w:rFonts w:hint="eastAsia" w:ascii="仿宋_GB2312" w:hAnsi="仿宋_GB2312" w:eastAsia="仿宋_GB2312" w:cs="仿宋_GB2312"/>
          <w:color w:val="auto"/>
          <w:sz w:val="32"/>
          <w:szCs w:val="32"/>
          <w:lang w:val="en-US" w:eastAsia="zh-CN"/>
        </w:rPr>
        <w:t>的临时收集存放设施，定期收集并交由有危险废物处置资质的单位处置，确保危险废物暂存剩余容量及周转周期合规。</w:t>
      </w:r>
    </w:p>
    <w:p w14:paraId="346506B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（六）按照《关于印发〈企业事业单位突发环境事件应急预案备案管理办法（试行）〉的通知》（环发〔2015〕4 号）等相关要求，制定应急预案，配备相应的应急保障物资，落实环境风险防范措施，定期进行应急演练。加强环境管理，落实环境保护规章制度，确保环保设施的正常运转以及各项污染物稳定达标排放。</w:t>
      </w:r>
    </w:p>
    <w:p w14:paraId="6942F8B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14:paraId="1A6B54B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四、项目在启动生产设施或者在实际排污之前须依照国家相关规定申领排污许可证。</w:t>
      </w:r>
    </w:p>
    <w:p w14:paraId="3BE3C65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五、项目生产时，你单位须按《报告表》所列的环境监测计划实施监测，加强环境风险管控，确保环境安全，避免发生环境纠纷，并按国家有关要求公开监测信息，接受社会监督。</w:t>
      </w:r>
    </w:p>
    <w:p w14:paraId="3C20196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项目的性质、规模、地点、建设工艺、污染防治措施、防止生态破坏的措施发生重大变动的，须重新报批建设项目的环境评价文件。建设项目自环评文件批准之日起超过五年，方决定该项目开工建设的，环境影响评价文件应当报我局审核同意后方可建设。</w:t>
      </w:r>
    </w:p>
    <w:p w14:paraId="10ED5E96">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sz w:val="32"/>
          <w:szCs w:val="32"/>
        </w:rPr>
      </w:pPr>
    </w:p>
    <w:p w14:paraId="04445639">
      <w:pPr>
        <w:pStyle w:val="3"/>
        <w:rPr>
          <w:rFonts w:hint="eastAsia"/>
        </w:rPr>
      </w:pPr>
    </w:p>
    <w:p w14:paraId="57ADE1D8">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（此页无正文）</w:t>
      </w:r>
    </w:p>
    <w:p w14:paraId="625924AB">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p>
    <w:p w14:paraId="549B75B2">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柳州市行政审批局</w:t>
      </w:r>
    </w:p>
    <w:p w14:paraId="3C440141">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5280" w:firstLineChars="16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3B8F9C9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14:paraId="6DBBECD7">
      <w:pPr>
        <w:pStyle w:val="3"/>
        <w:ind w:left="0" w:leftChars="0" w:firstLine="0" w:firstLineChars="0"/>
        <w:rPr>
          <w:rFonts w:hint="eastAsia"/>
        </w:rPr>
      </w:pPr>
    </w:p>
    <w:p w14:paraId="2327D7EC">
      <w:pPr>
        <w:pStyle w:val="2"/>
        <w:rPr>
          <w:rFonts w:hint="eastAsia"/>
        </w:rPr>
      </w:pPr>
    </w:p>
    <w:p w14:paraId="6C64C304">
      <w:pPr>
        <w:rPr>
          <w:rFonts w:hint="eastAsia"/>
        </w:rPr>
      </w:pPr>
    </w:p>
    <w:p w14:paraId="03C7EA78">
      <w:pPr>
        <w:rPr>
          <w:rFonts w:hint="eastAsia"/>
        </w:rPr>
      </w:pPr>
    </w:p>
    <w:p w14:paraId="041920F8">
      <w:pPr>
        <w:rPr>
          <w:rFonts w:hint="eastAsia"/>
        </w:rPr>
      </w:pPr>
    </w:p>
    <w:p w14:paraId="5092D1FF">
      <w:pPr>
        <w:rPr>
          <w:rFonts w:hint="eastAsia"/>
        </w:rPr>
      </w:pPr>
    </w:p>
    <w:p w14:paraId="1D41C6B0">
      <w:pPr>
        <w:rPr>
          <w:rFonts w:hint="eastAsia"/>
        </w:rPr>
      </w:pPr>
    </w:p>
    <w:p w14:paraId="7CDA83EC">
      <w:pPr>
        <w:rPr>
          <w:rFonts w:hint="eastAsia"/>
        </w:rPr>
      </w:pPr>
    </w:p>
    <w:p w14:paraId="1EDDD4D0">
      <w:pPr>
        <w:rPr>
          <w:rFonts w:hint="eastAsia"/>
        </w:rPr>
      </w:pPr>
    </w:p>
    <w:p w14:paraId="1A86213B">
      <w:pPr>
        <w:rPr>
          <w:rFonts w:hint="eastAsia"/>
        </w:rPr>
      </w:pPr>
    </w:p>
    <w:p w14:paraId="14E9FC08">
      <w:pPr>
        <w:rPr>
          <w:rFonts w:hint="eastAsia"/>
        </w:rPr>
      </w:pPr>
      <w:bookmarkStart w:id="0" w:name="_GoBack"/>
      <w:bookmarkEnd w:id="0"/>
    </w:p>
    <w:p w14:paraId="7FEE7610">
      <w:pPr>
        <w:rPr>
          <w:rFonts w:hint="eastAsia"/>
        </w:rPr>
      </w:pPr>
    </w:p>
    <w:p w14:paraId="493C725E">
      <w:pPr>
        <w:rPr>
          <w:rFonts w:hint="eastAsia"/>
        </w:rPr>
      </w:pPr>
    </w:p>
    <w:p w14:paraId="7663662D">
      <w:pPr>
        <w:rPr>
          <w:rFonts w:hint="eastAsia"/>
        </w:rPr>
      </w:pPr>
    </w:p>
    <w:p w14:paraId="38750429">
      <w:pPr>
        <w:rPr>
          <w:rFonts w:hint="eastAsia"/>
        </w:rPr>
      </w:pPr>
    </w:p>
    <w:p w14:paraId="1ECA286E">
      <w:pPr>
        <w:rPr>
          <w:rFonts w:hint="eastAsia"/>
        </w:rPr>
      </w:pPr>
    </w:p>
    <w:p w14:paraId="284711D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楷体_GB2312" w:hAnsi="Tahoma" w:eastAsia="楷体_GB2312" w:cs="楷体_GB2312"/>
          <w:b/>
          <w:kern w:val="0"/>
          <w:sz w:val="28"/>
          <w:szCs w:val="28"/>
          <w:u w:val="none"/>
          <w:lang w:val="en-US" w:eastAsia="zh-CN"/>
        </w:rPr>
      </w:pPr>
      <w:r>
        <w:rPr>
          <w:rFonts w:hint="eastAsia" w:ascii="仿宋_GB2312" w:hAnsi="仿宋_GB2312" w:eastAsia="仿宋_GB2312" w:cs="仿宋_GB2312"/>
          <w:sz w:val="28"/>
          <w:szCs w:val="28"/>
          <w:u w:val="none"/>
        </w:rPr>
        <w:t>投资项目在线审批监管平台项目代码：</w:t>
      </w:r>
      <w:r>
        <w:rPr>
          <w:rFonts w:hint="eastAsia" w:ascii="仿宋_GB2312" w:hAnsi="仿宋_GB2312" w:eastAsia="仿宋_GB2312" w:cs="仿宋_GB2312"/>
          <w:sz w:val="28"/>
          <w:szCs w:val="28"/>
          <w:u w:val="none"/>
          <w:lang w:val="en-US" w:eastAsia="zh-CN"/>
        </w:rPr>
        <w:t xml:space="preserve">        2512-450212-04-01-288035</w:t>
      </w:r>
      <w:r>
        <w:rPr>
          <w:rFonts w:hint="eastAsia" w:ascii="楷体_GB2312" w:hAnsi="Tahoma" w:eastAsia="楷体_GB2312" w:cs="楷体_GB2312"/>
          <w:b/>
          <w:kern w:val="0"/>
          <w:sz w:val="28"/>
          <w:szCs w:val="28"/>
          <w:u w:val="none"/>
          <w:lang w:val="en-US" w:eastAsia="zh-CN"/>
        </w:rPr>
        <w:t xml:space="preserve">       </w:t>
      </w:r>
    </w:p>
    <w:p w14:paraId="4CA37A40">
      <w:pPr>
        <w:keepNext w:val="0"/>
        <w:keepLines w:val="0"/>
        <w:pageBreakBefore w:val="0"/>
        <w:widowControl/>
        <w:kinsoku/>
        <w:wordWrap/>
        <w:overflowPunct/>
        <w:topLinePunct w:val="0"/>
        <w:autoSpaceDE/>
        <w:autoSpaceDN/>
        <w:bidi w:val="0"/>
        <w:spacing w:after="0" w:line="440" w:lineRule="exact"/>
        <w:ind w:left="945" w:right="0" w:rightChars="0" w:hanging="990" w:hangingChars="450"/>
        <w:jc w:val="left"/>
        <w:textAlignment w:val="auto"/>
        <w:outlineLvl w:val="9"/>
        <w:rPr>
          <w:rFonts w:hint="eastAsia" w:ascii="仿宋_GB2312" w:eastAsia="仿宋_GB2312"/>
          <w:sz w:val="28"/>
          <w:szCs w:val="28"/>
          <w:u w:val="single"/>
        </w:rPr>
      </w:pPr>
      <w:r>
        <w:rPr>
          <w:rFonts w:hint="eastAsia" w:ascii="仿宋_GB2312"/>
          <w:u w:val="single"/>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7620</wp:posOffset>
                </wp:positionV>
                <wp:extent cx="5828665" cy="635"/>
                <wp:effectExtent l="0" t="0" r="0" b="0"/>
                <wp:wrapNone/>
                <wp:docPr id="2" name="直线 2"/>
                <wp:cNvGraphicFramePr/>
                <a:graphic xmlns:a="http://schemas.openxmlformats.org/drawingml/2006/main">
                  <a:graphicData uri="http://schemas.microsoft.com/office/word/2010/wordprocessingShape">
                    <wps:wsp>
                      <wps:cNvCnPr/>
                      <wps:spPr>
                        <a:xfrm>
                          <a:off x="0" y="0"/>
                          <a:ext cx="58286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pt;margin-top:0.6pt;height:0.05pt;width:458.95pt;z-index:251660288;mso-width-relative:page;mso-height-relative:page;" filled="f" stroked="t" coordsize="21600,21600" o:gfxdata="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H+KNMAAAAF&#10;AQAADwAAAAAAAAABACAAAAAiAAAAZHJzL2Rvd25yZXYueG1sUEsBAhQAFAAAAAgAh07iQA973cXo&#10;AQAA3Q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eastAsia="仿宋_GB2312"/>
          <w:sz w:val="28"/>
          <w:szCs w:val="28"/>
          <w:u w:val="single"/>
        </w:rPr>
        <w:t>抄送：</w:t>
      </w:r>
      <w:r>
        <w:rPr>
          <w:rFonts w:hint="default" w:ascii="Times New Roman" w:hAnsi="Times New Roman" w:eastAsia="仿宋_GB2312" w:cs="Times New Roman"/>
          <w:sz w:val="28"/>
          <w:szCs w:val="28"/>
          <w:u w:val="single"/>
        </w:rPr>
        <w:t>柳州市北部生态新区生态环境局</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14:paraId="4FC74F30">
      <w:pPr>
        <w:keepNext w:val="0"/>
        <w:keepLines w:val="0"/>
        <w:pageBreakBefore w:val="0"/>
        <w:widowControl/>
        <w:kinsoku/>
        <w:wordWrap/>
        <w:overflowPunct/>
        <w:topLinePunct w:val="0"/>
        <w:autoSpaceDE/>
        <w:autoSpaceDN/>
        <w:bidi w:val="0"/>
        <w:adjustRightInd w:val="0"/>
        <w:snapToGrid w:val="0"/>
        <w:spacing w:after="0" w:line="440" w:lineRule="exact"/>
        <w:ind w:left="0" w:leftChars="0" w:right="0" w:rightChars="0" w:firstLine="0" w:firstLineChars="0"/>
        <w:jc w:val="left"/>
        <w:textAlignment w:val="auto"/>
        <w:outlineLvl w:val="9"/>
      </w:pPr>
      <w:r>
        <w:rPr>
          <w:rFonts w:hint="eastAsia" w:ascii="仿宋_GB2312" w:hAnsi="Tahoma" w:eastAsia="仿宋_GB2312" w:cs="仿宋_GB2312"/>
          <w:color w:val="000000"/>
          <w:sz w:val="28"/>
          <w:szCs w:val="28"/>
          <w:u w:val="single"/>
        </w:rPr>
        <w:t xml:space="preserve">柳州市行政审批局                   </w:t>
      </w:r>
      <w:r>
        <w:rPr>
          <w:rFonts w:hint="eastAsia" w:ascii="仿宋_GB2312" w:hAnsi="Tahoma" w:eastAsia="仿宋_GB2312" w:cs="仿宋_GB2312"/>
          <w:color w:val="000000"/>
          <w:sz w:val="28"/>
          <w:szCs w:val="28"/>
          <w:u w:val="single"/>
          <w:lang w:val="en-US" w:eastAsia="zh-CN"/>
        </w:rPr>
        <w:t xml:space="preserve">          </w:t>
      </w:r>
      <w:r>
        <w:rPr>
          <w:rFonts w:hint="eastAsia" w:ascii="仿宋_GB2312" w:hAnsi="Tahoma" w:eastAsia="仿宋_GB2312" w:cs="仿宋_GB2312"/>
          <w:color w:val="000000"/>
          <w:sz w:val="28"/>
          <w:szCs w:val="28"/>
          <w:u w:val="single"/>
        </w:rPr>
        <w:t xml:space="preserve">  20</w:t>
      </w:r>
      <w:r>
        <w:rPr>
          <w:rFonts w:hint="eastAsia" w:ascii="仿宋_GB2312" w:hAnsi="Tahoma" w:eastAsia="仿宋_GB2312" w:cs="仿宋_GB2312"/>
          <w:color w:val="000000"/>
          <w:sz w:val="28"/>
          <w:szCs w:val="28"/>
          <w:u w:val="single"/>
          <w:lang w:val="en-US" w:eastAsia="zh-CN"/>
        </w:rPr>
        <w:t>26</w:t>
      </w:r>
      <w:r>
        <w:rPr>
          <w:rFonts w:hint="eastAsia" w:ascii="仿宋_GB2312" w:hAnsi="Tahoma" w:eastAsia="仿宋_GB2312" w:cs="仿宋_GB2312"/>
          <w:color w:val="000000"/>
          <w:sz w:val="28"/>
          <w:szCs w:val="28"/>
          <w:u w:val="single"/>
        </w:rPr>
        <w:t>年</w:t>
      </w:r>
      <w:r>
        <w:rPr>
          <w:rFonts w:hint="eastAsia" w:ascii="仿宋_GB2312" w:hAnsi="Tahoma" w:eastAsia="仿宋_GB2312" w:cs="仿宋_GB2312"/>
          <w:color w:val="000000"/>
          <w:sz w:val="28"/>
          <w:szCs w:val="28"/>
          <w:u w:val="single"/>
          <w:lang w:val="en-US" w:eastAsia="zh-CN"/>
        </w:rPr>
        <w:t>6</w:t>
      </w:r>
      <w:r>
        <w:rPr>
          <w:rFonts w:hint="eastAsia" w:ascii="仿宋_GB2312" w:hAnsi="Tahoma" w:eastAsia="仿宋_GB2312" w:cs="仿宋_GB2312"/>
          <w:color w:val="000000"/>
          <w:sz w:val="28"/>
          <w:szCs w:val="28"/>
          <w:u w:val="single"/>
        </w:rPr>
        <w:t>月</w:t>
      </w:r>
      <w:r>
        <w:rPr>
          <w:rFonts w:hint="eastAsia" w:ascii="仿宋_GB2312" w:hAnsi="Tahoma" w:eastAsia="仿宋_GB2312" w:cs="仿宋_GB2312"/>
          <w:color w:val="000000"/>
          <w:sz w:val="28"/>
          <w:szCs w:val="28"/>
          <w:u w:val="single"/>
          <w:lang w:val="en-US" w:eastAsia="zh-CN"/>
        </w:rPr>
        <w:t>5</w:t>
      </w:r>
      <w:r>
        <w:rPr>
          <w:rFonts w:hint="eastAsia" w:ascii="仿宋_GB2312" w:hAnsi="Tahoma" w:eastAsia="仿宋_GB2312" w:cs="仿宋_GB2312"/>
          <w:color w:val="000000"/>
          <w:sz w:val="28"/>
          <w:szCs w:val="28"/>
          <w:u w:val="single"/>
        </w:rPr>
        <w:t xml:space="preserve">日印发 </w:t>
      </w:r>
    </w:p>
    <w:sectPr>
      <w:headerReference r:id="rId5" w:type="default"/>
      <w:footerReference r:id="rId6" w:type="default"/>
      <w:pgSz w:w="12240" w:h="15840"/>
      <w:pgMar w:top="2098" w:right="1474" w:bottom="2098" w:left="1474"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3735">
    <w:pPr>
      <w:pStyle w:val="4"/>
      <w:framePr w:wrap="around" w:vAnchor="text" w:hAnchor="margin" w:xAlign="outside" w:y="2"/>
      <w:rPr>
        <w:rStyle w:val="9"/>
        <w:rFonts w:hint="eastAsia"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14:paraId="443A0361">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452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BCA15"/>
    <w:multiLevelType w:val="singleLevel"/>
    <w:tmpl w:val="7C1BCA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B274D"/>
    <w:rsid w:val="2E517814"/>
    <w:rsid w:val="36517367"/>
    <w:rsid w:val="43423C09"/>
    <w:rsid w:val="4D2527D5"/>
    <w:rsid w:val="509B543A"/>
    <w:rsid w:val="528B792F"/>
    <w:rsid w:val="567622F5"/>
    <w:rsid w:val="5C2518AA"/>
    <w:rsid w:val="5C3929A3"/>
    <w:rsid w:val="626E362F"/>
    <w:rsid w:val="7F807B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4"/>
    <w:basedOn w:val="1"/>
    <w:next w:val="1"/>
    <w:qFormat/>
    <w:uiPriority w:val="9"/>
    <w:pPr>
      <w:keepNext/>
      <w:keepLines/>
      <w:spacing w:line="360" w:lineRule="auto"/>
      <w:ind w:firstLine="1606" w:firstLineChars="200"/>
      <w:jc w:val="both"/>
      <w:outlineLvl w:val="3"/>
    </w:pPr>
    <w:rPr>
      <w:rFonts w:ascii="Times New Roman" w:hAnsi="Times New Roman" w:eastAsia="宋体" w:cs="Times New Roma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2"/>
    <w:qFormat/>
    <w:uiPriority w:val="0"/>
    <w:pPr>
      <w:adjustRightInd w:val="0"/>
      <w:spacing w:line="360" w:lineRule="auto"/>
      <w:ind w:firstLine="1606" w:firstLineChars="200"/>
      <w:jc w:val="left"/>
      <w:textAlignment w:val="baseline"/>
    </w:pPr>
    <w:rPr>
      <w:rFonts w:ascii="Times New Roman" w:hAnsi="Times New Roman" w:eastAsia="宋体"/>
      <w:kern w:val="0"/>
      <w:szCs w:val="20"/>
    </w:rPr>
  </w:style>
  <w:style w:type="paragraph" w:styleId="4">
    <w:name w:val="footer"/>
    <w:basedOn w:val="1"/>
    <w:qFormat/>
    <w:uiPriority w:val="0"/>
    <w:pPr>
      <w:tabs>
        <w:tab w:val="center" w:pos="4153"/>
        <w:tab w:val="right" w:pos="8306"/>
      </w:tabs>
      <w:snapToGrid w:val="0"/>
      <w:spacing w:line="240" w:lineRule="auto"/>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rPr>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1689</Words>
  <Characters>1840</Characters>
  <Lines>0</Lines>
  <Paragraphs>0</Paragraphs>
  <TotalTime>2</TotalTime>
  <ScaleCrop>false</ScaleCrop>
  <LinksUpToDate>false</LinksUpToDate>
  <CharactersWithSpaces>1951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柳州市政务服务中心</dc:creator>
  <cp:lastModifiedBy>抱着猫睡觉的鱼</cp:lastModifiedBy>
  <dcterms:modified xsi:type="dcterms:W3CDTF">2026-06-05T03:40:50Z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eyJoZGlkIjoiNjhiMzQzZTUxOTQ1NWFlYjlmMzFhZjE3YWQzYTU0YjIiLCJ1c2VySWQiOiI3NDY1NjUwNTEifQ==</vt:lpwstr>
  </property>
  <property fmtid="{D5CDD505-2E9C-101B-9397-08002B2CF9AE}" pid="4" name="ICV">
    <vt:lpwstr>86E1E04FE668466BA76FB001B8607BAA_12</vt:lpwstr>
  </property>
</Properties>
</file>